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70" w:rsidRDefault="00F50070" w:rsidP="00126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Приложение 2</w:t>
      </w:r>
    </w:p>
    <w:p w:rsidR="00F50070" w:rsidRDefault="00F50070" w:rsidP="00126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Утверждено:</w:t>
      </w:r>
    </w:p>
    <w:p w:rsidR="00F50070" w:rsidRDefault="00F50070" w:rsidP="00126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распоряжением администрации</w:t>
      </w:r>
    </w:p>
    <w:p w:rsidR="00F50070" w:rsidRDefault="00F50070" w:rsidP="00126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Тулунского муниципального</w:t>
      </w:r>
    </w:p>
    <w:p w:rsidR="00F50070" w:rsidRDefault="00F50070" w:rsidP="00126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района</w:t>
      </w:r>
    </w:p>
    <w:p w:rsidR="00F50070" w:rsidRDefault="00F50070" w:rsidP="00126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от «____»________2022г.</w:t>
      </w:r>
    </w:p>
    <w:p w:rsidR="00F50070" w:rsidRDefault="00F50070" w:rsidP="009750C4">
      <w:pPr>
        <w:rPr>
          <w:sz w:val="28"/>
          <w:szCs w:val="28"/>
        </w:rPr>
      </w:pPr>
    </w:p>
    <w:p w:rsidR="00F50070" w:rsidRDefault="00F50070" w:rsidP="009750C4">
      <w:pPr>
        <w:rPr>
          <w:sz w:val="28"/>
          <w:szCs w:val="28"/>
        </w:rPr>
      </w:pPr>
    </w:p>
    <w:p w:rsidR="00F50070" w:rsidRDefault="00F50070" w:rsidP="009750C4">
      <w:pPr>
        <w:rPr>
          <w:sz w:val="28"/>
          <w:szCs w:val="28"/>
        </w:rPr>
      </w:pPr>
    </w:p>
    <w:p w:rsidR="00F50070" w:rsidRPr="00A95979" w:rsidRDefault="00F50070" w:rsidP="009750C4">
      <w:pPr>
        <w:rPr>
          <w:sz w:val="28"/>
          <w:szCs w:val="28"/>
        </w:rPr>
      </w:pPr>
    </w:p>
    <w:p w:rsidR="00F50070" w:rsidRDefault="00F50070" w:rsidP="00F4349C">
      <w:pPr>
        <w:jc w:val="center"/>
        <w:outlineLvl w:val="0"/>
        <w:rPr>
          <w:b/>
          <w:sz w:val="28"/>
          <w:szCs w:val="28"/>
        </w:rPr>
      </w:pPr>
    </w:p>
    <w:p w:rsidR="00F50070" w:rsidRDefault="00F50070" w:rsidP="00F4349C">
      <w:pPr>
        <w:jc w:val="center"/>
        <w:outlineLvl w:val="0"/>
        <w:rPr>
          <w:b/>
          <w:sz w:val="28"/>
          <w:szCs w:val="28"/>
        </w:rPr>
      </w:pPr>
    </w:p>
    <w:p w:rsidR="00F50070" w:rsidRPr="00A95979" w:rsidRDefault="00F50070" w:rsidP="00F4349C">
      <w:pPr>
        <w:jc w:val="center"/>
        <w:outlineLvl w:val="0"/>
        <w:rPr>
          <w:b/>
          <w:sz w:val="28"/>
          <w:szCs w:val="28"/>
        </w:rPr>
      </w:pPr>
      <w:r w:rsidRPr="00A95979">
        <w:rPr>
          <w:b/>
          <w:sz w:val="28"/>
          <w:szCs w:val="28"/>
        </w:rPr>
        <w:t>ПЛАН МЕРОПРИЯТИЙ («ДОРОЖНАЯ КАРТА»)</w:t>
      </w:r>
    </w:p>
    <w:p w:rsidR="00F50070" w:rsidRPr="00A95979" w:rsidRDefault="00F50070" w:rsidP="003E14C2">
      <w:pPr>
        <w:jc w:val="center"/>
        <w:rPr>
          <w:b/>
          <w:sz w:val="28"/>
          <w:szCs w:val="28"/>
        </w:rPr>
      </w:pPr>
      <w:r w:rsidRPr="00A95979">
        <w:rPr>
          <w:b/>
          <w:sz w:val="28"/>
          <w:szCs w:val="28"/>
        </w:rPr>
        <w:t xml:space="preserve">ПО СОДЕЙСТВИЮ РАЗВИТИЮ КОНКУРЕНЦИИ </w:t>
      </w:r>
      <w:r>
        <w:rPr>
          <w:b/>
          <w:sz w:val="28"/>
          <w:szCs w:val="28"/>
        </w:rPr>
        <w:t xml:space="preserve">НА ТЕРРИТОРИИ МУНИЦИПАЛЬНОГО ОБРАЗОВАНИЯ </w:t>
      </w:r>
      <w:r w:rsidR="00713E06">
        <w:rPr>
          <w:b/>
          <w:sz w:val="28"/>
          <w:szCs w:val="28"/>
        </w:rPr>
        <w:t>ТУЛУНСКИЙ РАЙОН</w:t>
      </w:r>
      <w:r w:rsidRPr="00A9597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A9597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95979">
        <w:rPr>
          <w:b/>
          <w:sz w:val="28"/>
          <w:szCs w:val="28"/>
        </w:rPr>
        <w:t xml:space="preserve"> ГОДЫ</w:t>
      </w:r>
    </w:p>
    <w:p w:rsidR="00F50070" w:rsidRPr="00A95979" w:rsidRDefault="00F50070" w:rsidP="00190E1F">
      <w:pPr>
        <w:jc w:val="center"/>
        <w:rPr>
          <w:sz w:val="22"/>
          <w:szCs w:val="22"/>
        </w:rPr>
      </w:pPr>
    </w:p>
    <w:tbl>
      <w:tblPr>
        <w:tblW w:w="51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085"/>
        <w:gridCol w:w="70"/>
        <w:gridCol w:w="555"/>
        <w:gridCol w:w="18"/>
        <w:gridCol w:w="855"/>
        <w:gridCol w:w="15"/>
        <w:gridCol w:w="2423"/>
        <w:gridCol w:w="1143"/>
        <w:gridCol w:w="1095"/>
        <w:gridCol w:w="15"/>
        <w:gridCol w:w="33"/>
        <w:gridCol w:w="958"/>
        <w:gridCol w:w="73"/>
        <w:gridCol w:w="112"/>
        <w:gridCol w:w="1092"/>
        <w:gridCol w:w="55"/>
        <w:gridCol w:w="1146"/>
        <w:gridCol w:w="1704"/>
      </w:tblGrid>
      <w:tr w:rsidR="00F50070" w:rsidRPr="00A95979" w:rsidTr="00751BE0">
        <w:trPr>
          <w:trHeight w:val="20"/>
          <w:tblHeader/>
        </w:trPr>
        <w:tc>
          <w:tcPr>
            <w:tcW w:w="236" w:type="pct"/>
            <w:vMerge w:val="restart"/>
            <w:shd w:val="clear" w:color="auto" w:fill="D9D9D9"/>
          </w:tcPr>
          <w:p w:rsidR="00F50070" w:rsidRPr="00A95979" w:rsidRDefault="00F50070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040" w:type="pct"/>
            <w:gridSpan w:val="2"/>
            <w:vMerge w:val="restart"/>
            <w:shd w:val="clear" w:color="auto" w:fill="D9D9D9"/>
          </w:tcPr>
          <w:p w:rsidR="00F50070" w:rsidRPr="00A95979" w:rsidRDefault="00F50070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76" w:type="pct"/>
            <w:gridSpan w:val="4"/>
            <w:vMerge w:val="restart"/>
            <w:shd w:val="clear" w:color="auto" w:fill="D9D9D9"/>
          </w:tcPr>
          <w:p w:rsidR="00F50070" w:rsidRPr="00A95979" w:rsidRDefault="00F50070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799" w:type="pct"/>
            <w:vMerge w:val="restart"/>
            <w:shd w:val="clear" w:color="auto" w:fill="D9D9D9"/>
          </w:tcPr>
          <w:p w:rsidR="00F50070" w:rsidRPr="00A95979" w:rsidRDefault="00F50070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br/>
              <w:t>единица измерения</w:t>
            </w:r>
          </w:p>
        </w:tc>
        <w:tc>
          <w:tcPr>
            <w:tcW w:w="1887" w:type="pct"/>
            <w:gridSpan w:val="10"/>
            <w:shd w:val="clear" w:color="auto" w:fill="D9D9D9"/>
          </w:tcPr>
          <w:p w:rsidR="00F50070" w:rsidRPr="00A95979" w:rsidRDefault="00F50070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Целевое значение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562" w:type="pct"/>
            <w:vMerge w:val="restart"/>
            <w:shd w:val="clear" w:color="auto" w:fill="D9D9D9"/>
          </w:tcPr>
          <w:p w:rsidR="00F50070" w:rsidRPr="00A95979" w:rsidRDefault="00F50070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F50070" w:rsidRPr="00A95979" w:rsidTr="00751BE0">
        <w:trPr>
          <w:trHeight w:val="20"/>
          <w:tblHeader/>
        </w:trPr>
        <w:tc>
          <w:tcPr>
            <w:tcW w:w="236" w:type="pct"/>
            <w:vMerge/>
            <w:shd w:val="clear" w:color="auto" w:fill="D9D9D9"/>
          </w:tcPr>
          <w:p w:rsidR="00F50070" w:rsidRPr="00A95979" w:rsidRDefault="00F50070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vMerge/>
            <w:shd w:val="clear" w:color="auto" w:fill="D9D9D9"/>
          </w:tcPr>
          <w:p w:rsidR="00F50070" w:rsidRPr="00A95979" w:rsidRDefault="00F50070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" w:type="pct"/>
            <w:gridSpan w:val="4"/>
            <w:vMerge/>
            <w:shd w:val="clear" w:color="auto" w:fill="D9D9D9"/>
          </w:tcPr>
          <w:p w:rsidR="00F50070" w:rsidRPr="00A95979" w:rsidRDefault="00F50070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D9D9D9"/>
          </w:tcPr>
          <w:p w:rsidR="00F50070" w:rsidRPr="00A95979" w:rsidRDefault="00F50070" w:rsidP="003A364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D9D9D9"/>
          </w:tcPr>
          <w:p w:rsidR="00F50070" w:rsidRDefault="00F50070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F50070" w:rsidRPr="00A95979" w:rsidRDefault="00F50070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(факт)</w:t>
            </w:r>
          </w:p>
        </w:tc>
        <w:tc>
          <w:tcPr>
            <w:tcW w:w="377" w:type="pct"/>
            <w:gridSpan w:val="3"/>
            <w:shd w:val="clear" w:color="auto" w:fill="D9D9D9"/>
          </w:tcPr>
          <w:p w:rsidR="00F50070" w:rsidRPr="00A95979" w:rsidRDefault="00F50070" w:rsidP="0084763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7" w:type="pct"/>
            <w:gridSpan w:val="3"/>
            <w:shd w:val="clear" w:color="auto" w:fill="D9D9D9"/>
          </w:tcPr>
          <w:p w:rsidR="00F50070" w:rsidRPr="00A95979" w:rsidRDefault="00F50070" w:rsidP="0084763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12.2023</w:t>
            </w:r>
          </w:p>
        </w:tc>
        <w:tc>
          <w:tcPr>
            <w:tcW w:w="378" w:type="pct"/>
            <w:gridSpan w:val="2"/>
            <w:shd w:val="clear" w:color="auto" w:fill="D9D9D9"/>
          </w:tcPr>
          <w:p w:rsidR="00F50070" w:rsidRPr="00A95979" w:rsidRDefault="00F50070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</w:tc>
        <w:tc>
          <w:tcPr>
            <w:tcW w:w="378" w:type="pct"/>
            <w:shd w:val="clear" w:color="auto" w:fill="D9D9D9"/>
          </w:tcPr>
          <w:p w:rsidR="00F50070" w:rsidRPr="00A95979" w:rsidRDefault="00F50070" w:rsidP="003E14C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562" w:type="pct"/>
            <w:vMerge/>
            <w:shd w:val="clear" w:color="auto" w:fill="D9D9D9"/>
          </w:tcPr>
          <w:p w:rsidR="00F50070" w:rsidRPr="00A95979" w:rsidRDefault="00F50070" w:rsidP="003E14C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070" w:rsidRPr="008E7A02" w:rsidTr="002504A2">
        <w:trPr>
          <w:trHeight w:val="20"/>
        </w:trPr>
        <w:tc>
          <w:tcPr>
            <w:tcW w:w="1253" w:type="pct"/>
            <w:gridSpan w:val="2"/>
          </w:tcPr>
          <w:p w:rsidR="00F50070" w:rsidRPr="00A95979" w:rsidRDefault="00F50070" w:rsidP="00F3100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7" w:type="pct"/>
            <w:gridSpan w:val="17"/>
          </w:tcPr>
          <w:p w:rsidR="00F50070" w:rsidRPr="008E7A02" w:rsidRDefault="00F50070" w:rsidP="00F3100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1. План мероприятий по развитию конкуренции на товарных рынках, </w:t>
            </w:r>
          </w:p>
          <w:p w:rsidR="00F50070" w:rsidRPr="008E7A02" w:rsidRDefault="00F50070" w:rsidP="00F3100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 w:val="restart"/>
          </w:tcPr>
          <w:p w:rsidR="00F50070" w:rsidRPr="00A95979" w:rsidRDefault="00F50070" w:rsidP="0003380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95979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1223" w:type="pct"/>
            <w:gridSpan w:val="3"/>
          </w:tcPr>
          <w:p w:rsidR="00F50070" w:rsidRPr="008E7A02" w:rsidRDefault="00F50070" w:rsidP="0003380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0" w:type="pct"/>
            <w:gridSpan w:val="15"/>
          </w:tcPr>
          <w:p w:rsidR="00F50070" w:rsidRPr="008E7A02" w:rsidRDefault="00F50070" w:rsidP="0003380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строительства объектов капитального строительства, за  исключением жилищного и дорожного строительства</w:t>
            </w:r>
          </w:p>
        </w:tc>
      </w:tr>
      <w:tr w:rsidR="00F50070" w:rsidRPr="008E7A02" w:rsidTr="00751BE0">
        <w:trPr>
          <w:trHeight w:val="399"/>
        </w:trPr>
        <w:tc>
          <w:tcPr>
            <w:tcW w:w="236" w:type="pct"/>
            <w:vMerge/>
          </w:tcPr>
          <w:p w:rsidR="00F50070" w:rsidRPr="00A95979" w:rsidRDefault="00F50070" w:rsidP="004378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3"/>
          </w:tcPr>
          <w:p w:rsidR="00F50070" w:rsidRPr="008E7A02" w:rsidRDefault="00F50070" w:rsidP="00684E3D">
            <w:pPr>
              <w:rPr>
                <w:b/>
                <w:sz w:val="22"/>
                <w:szCs w:val="22"/>
              </w:rPr>
            </w:pPr>
          </w:p>
        </w:tc>
        <w:tc>
          <w:tcPr>
            <w:tcW w:w="3540" w:type="pct"/>
            <w:gridSpan w:val="15"/>
          </w:tcPr>
          <w:p w:rsidR="00F50070" w:rsidRPr="008E7A02" w:rsidRDefault="00F50070" w:rsidP="000D326B">
            <w:pPr>
              <w:jc w:val="both"/>
              <w:rPr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Оценка текущего состояния: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326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период 2020-2022гг. на территории Тулунского муниципального района определение подрядчиков на выполнение работ по строительству и капитальному ремонту объектов, находящихся в муниципальной собственности осуществлялось по итогам конкурентных процедур. Подрядчиками (непосредственными исполнителями работ) являются юридические лица, индивидуальные предприниматели без государственного и (или) муниципального участия.</w:t>
            </w:r>
          </w:p>
          <w:p w:rsidR="00F50070" w:rsidRPr="008E7A02" w:rsidRDefault="00F50070" w:rsidP="000D326B">
            <w:pPr>
              <w:autoSpaceDE/>
              <w:autoSpaceDN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/>
          </w:tcPr>
          <w:p w:rsidR="00F50070" w:rsidRPr="00A95979" w:rsidRDefault="00F50070" w:rsidP="0043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pct"/>
            <w:gridSpan w:val="7"/>
          </w:tcPr>
          <w:p w:rsidR="00F50070" w:rsidRPr="00751BE0" w:rsidRDefault="00F50070" w:rsidP="00751BE0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Ключевой показатель: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13E06">
              <w:rPr>
                <w:sz w:val="22"/>
                <w:szCs w:val="22"/>
              </w:rPr>
              <w:t>Доля организаций</w:t>
            </w:r>
            <w:r>
              <w:rPr>
                <w:sz w:val="22"/>
                <w:szCs w:val="22"/>
              </w:rPr>
              <w:t xml:space="preserve"> частной формы </w:t>
            </w:r>
            <w:r w:rsidR="00713E06">
              <w:rPr>
                <w:sz w:val="22"/>
                <w:szCs w:val="22"/>
              </w:rPr>
              <w:t>собственности в</w:t>
            </w:r>
            <w:r>
              <w:rPr>
                <w:sz w:val="22"/>
                <w:szCs w:val="22"/>
              </w:rPr>
              <w:t xml:space="preserve"> сфере строительства </w:t>
            </w:r>
            <w:r w:rsidR="00713E06">
              <w:rPr>
                <w:sz w:val="22"/>
                <w:szCs w:val="22"/>
              </w:rPr>
              <w:t>объектов капитального</w:t>
            </w:r>
            <w:r>
              <w:rPr>
                <w:sz w:val="22"/>
                <w:szCs w:val="22"/>
              </w:rPr>
              <w:t xml:space="preserve"> строительства, за исключением жилищного и дорожного строительства, %</w:t>
            </w:r>
          </w:p>
          <w:p w:rsidR="00F50070" w:rsidRPr="008E7A02" w:rsidRDefault="00F50070" w:rsidP="00B67795">
            <w:pPr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</w:tcPr>
          <w:p w:rsidR="00F50070" w:rsidRPr="008E7A02" w:rsidRDefault="00F50070" w:rsidP="00B6779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1" w:type="pct"/>
          </w:tcPr>
          <w:p w:rsidR="00F50070" w:rsidRPr="002D5467" w:rsidRDefault="00F50070" w:rsidP="0043783C">
            <w:pPr>
              <w:adjustRightIn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8E7A0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D5467">
              <w:rPr>
                <w:sz w:val="22"/>
                <w:szCs w:val="22"/>
              </w:rPr>
              <w:t>100</w:t>
            </w:r>
          </w:p>
        </w:tc>
        <w:tc>
          <w:tcPr>
            <w:tcW w:w="356" w:type="pct"/>
            <w:gridSpan w:val="4"/>
          </w:tcPr>
          <w:p w:rsidR="00F50070" w:rsidRPr="002D5467" w:rsidRDefault="00F50070" w:rsidP="002D546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gridSpan w:val="2"/>
          </w:tcPr>
          <w:p w:rsidR="00F50070" w:rsidRPr="002D5467" w:rsidRDefault="00F50070" w:rsidP="002D546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2"/>
          </w:tcPr>
          <w:p w:rsidR="00F50070" w:rsidRPr="002D5467" w:rsidRDefault="00F50070" w:rsidP="002D546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2" w:type="pct"/>
          </w:tcPr>
          <w:p w:rsidR="00F50070" w:rsidRPr="008E7A02" w:rsidRDefault="00F50070" w:rsidP="0043783C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Pr="00A95979" w:rsidRDefault="00F50070" w:rsidP="0043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040" w:type="pct"/>
            <w:gridSpan w:val="2"/>
          </w:tcPr>
          <w:p w:rsidR="00F50070" w:rsidRPr="002D5467" w:rsidRDefault="00F50070" w:rsidP="002D546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Актуализация  типового административного регламента предоставления муниципальной услуги по выдаче разрешения на строительство, направленная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471" w:type="pct"/>
            <w:gridSpan w:val="3"/>
          </w:tcPr>
          <w:p w:rsidR="00F50070" w:rsidRPr="002D5467" w:rsidRDefault="00F50070" w:rsidP="002D5467">
            <w:pPr>
              <w:adjustRightInd w:val="0"/>
              <w:jc w:val="both"/>
              <w:rPr>
                <w:sz w:val="22"/>
                <w:szCs w:val="22"/>
              </w:rPr>
            </w:pPr>
            <w:r w:rsidRPr="002D5467">
              <w:rPr>
                <w:sz w:val="22"/>
                <w:szCs w:val="22"/>
              </w:rPr>
              <w:t>Ежегодно</w:t>
            </w:r>
          </w:p>
        </w:tc>
        <w:tc>
          <w:tcPr>
            <w:tcW w:w="804" w:type="pct"/>
            <w:gridSpan w:val="2"/>
          </w:tcPr>
          <w:p w:rsidR="00F50070" w:rsidRPr="002D5467" w:rsidRDefault="00F50070" w:rsidP="001D4A1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форм актуализированного типового административного регламента предоставления муниципальной услуги  по выдаче разрешения на строительство</w:t>
            </w:r>
          </w:p>
        </w:tc>
        <w:tc>
          <w:tcPr>
            <w:tcW w:w="377" w:type="pct"/>
          </w:tcPr>
          <w:p w:rsidR="00F50070" w:rsidRPr="008E7A02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gridSpan w:val="2"/>
          </w:tcPr>
          <w:p w:rsidR="00F50070" w:rsidRPr="008E7A02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" w:type="pct"/>
            <w:gridSpan w:val="2"/>
          </w:tcPr>
          <w:p w:rsidR="00F50070" w:rsidRPr="008E7A02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" w:type="pct"/>
            <w:gridSpan w:val="3"/>
          </w:tcPr>
          <w:p w:rsidR="00F50070" w:rsidRPr="008E7A02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2"/>
          </w:tcPr>
          <w:p w:rsidR="00F50070" w:rsidRPr="008E7A02" w:rsidRDefault="00F50070" w:rsidP="001D4A1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2" w:type="pct"/>
          </w:tcPr>
          <w:p w:rsidR="00F50070" w:rsidRPr="008E7A02" w:rsidRDefault="00F50070" w:rsidP="001D4A1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Тулунского муниципального района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Default="00F50070" w:rsidP="0043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040" w:type="pct"/>
            <w:gridSpan w:val="2"/>
          </w:tcPr>
          <w:p w:rsidR="00F50070" w:rsidRPr="00723752" w:rsidRDefault="00F50070" w:rsidP="002D546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типового административного регламента предоставления муниципальной услуги по выдаче разрешений на ввод объекта в эксплуатацию при осуществления строительства, реконструкции, капитального ремонта объектов капитального строительства, направленная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471" w:type="pct"/>
            <w:gridSpan w:val="3"/>
          </w:tcPr>
          <w:p w:rsidR="00F50070" w:rsidRPr="002D5467" w:rsidRDefault="00F50070" w:rsidP="002D546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804" w:type="pct"/>
            <w:gridSpan w:val="2"/>
          </w:tcPr>
          <w:p w:rsidR="00F50070" w:rsidRDefault="00F50070" w:rsidP="001D4A1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форм  актуализированного типового административного регламента предоставления муниципальной услуги по выдаче разрешений на ввод объекта в эксплуатацию  при осуществлении строительства, реконструкции, капитального ремонта объектов капитального </w:t>
            </w:r>
            <w:r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377" w:type="pct"/>
          </w:tcPr>
          <w:p w:rsidR="00F50070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6" w:type="pct"/>
            <w:gridSpan w:val="2"/>
          </w:tcPr>
          <w:p w:rsidR="00F50070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" w:type="pct"/>
            <w:gridSpan w:val="2"/>
          </w:tcPr>
          <w:p w:rsidR="00F50070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" w:type="pct"/>
            <w:gridSpan w:val="3"/>
          </w:tcPr>
          <w:p w:rsidR="00F50070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gridSpan w:val="2"/>
          </w:tcPr>
          <w:p w:rsidR="00F50070" w:rsidRDefault="00F50070" w:rsidP="001D4A1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2" w:type="pct"/>
          </w:tcPr>
          <w:p w:rsidR="00F50070" w:rsidRDefault="00F50070" w:rsidP="001D4A1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Тулунского муниципального района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 w:val="restart"/>
          </w:tcPr>
          <w:p w:rsidR="00F50070" w:rsidRPr="00F7572A" w:rsidRDefault="00F50070" w:rsidP="0043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7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223" w:type="pct"/>
            <w:gridSpan w:val="3"/>
          </w:tcPr>
          <w:p w:rsidR="00F50070" w:rsidRPr="008E7A02" w:rsidRDefault="00F50070" w:rsidP="0043783C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0" w:type="pct"/>
            <w:gridSpan w:val="15"/>
          </w:tcPr>
          <w:p w:rsidR="00F50070" w:rsidRPr="008E7A02" w:rsidRDefault="00F50070" w:rsidP="0043783C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Рынок дорожной деятельности (за исключением проектирования)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/>
          </w:tcPr>
          <w:p w:rsidR="00F50070" w:rsidRDefault="00F50070" w:rsidP="0043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3"/>
          </w:tcPr>
          <w:p w:rsidR="00F50070" w:rsidRPr="008E7A02" w:rsidRDefault="00F50070" w:rsidP="0043783C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0" w:type="pct"/>
            <w:gridSpan w:val="15"/>
          </w:tcPr>
          <w:p w:rsidR="00F50070" w:rsidRPr="008E7A02" w:rsidRDefault="00F50070" w:rsidP="00713E06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Оценка текущего состояния: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Администрацией Тулунского муниципального района осуществляется координация работы по автомобильным дорогам местного значения вне границ населенных пунктов. По итогам 2021 года в результате конкурентных процедур, проведенных администрацией Тулунского муниципального района, подрядчиками по ремонту и содержанию автомобильных дорог стали организаций частной и государственной формы собственности. Конкурентные процедуры проводятся в соответствии с Федеральным законом № 44-ФЗ</w:t>
            </w:r>
          </w:p>
        </w:tc>
      </w:tr>
      <w:tr w:rsidR="00F50070" w:rsidRPr="008E7A02" w:rsidTr="00713E06">
        <w:trPr>
          <w:trHeight w:val="858"/>
        </w:trPr>
        <w:tc>
          <w:tcPr>
            <w:tcW w:w="236" w:type="pct"/>
            <w:vMerge/>
          </w:tcPr>
          <w:p w:rsidR="00F50070" w:rsidRDefault="00F50070" w:rsidP="0043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pct"/>
            <w:gridSpan w:val="7"/>
          </w:tcPr>
          <w:p w:rsidR="00F50070" w:rsidRDefault="00F50070" w:rsidP="00E3731A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 xml:space="preserve">Ключевой показатель: </w:t>
            </w:r>
          </w:p>
          <w:p w:rsidR="00F50070" w:rsidRPr="008E7A02" w:rsidRDefault="00F50070" w:rsidP="00713E06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="00713E06">
              <w:rPr>
                <w:sz w:val="22"/>
                <w:szCs w:val="22"/>
              </w:rPr>
              <w:t>дорожной деятельности (</w:t>
            </w:r>
            <w:r>
              <w:rPr>
                <w:sz w:val="22"/>
                <w:szCs w:val="22"/>
              </w:rPr>
              <w:t>за исключением проектирования), %</w:t>
            </w:r>
          </w:p>
        </w:tc>
        <w:tc>
          <w:tcPr>
            <w:tcW w:w="377" w:type="pct"/>
          </w:tcPr>
          <w:p w:rsidR="00F50070" w:rsidRPr="008E7A02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43783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8" w:type="pct"/>
          </w:tcPr>
          <w:p w:rsidR="00F50070" w:rsidRPr="008E7A02" w:rsidRDefault="00F50070" w:rsidP="00F904D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</w:tcPr>
          <w:p w:rsidR="00F50070" w:rsidRPr="008E7A02" w:rsidRDefault="00F50070" w:rsidP="0043783C">
            <w:pPr>
              <w:adjustRightInd w:val="0"/>
              <w:rPr>
                <w:sz w:val="22"/>
                <w:szCs w:val="22"/>
              </w:rPr>
            </w:pP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Pr="00B11264" w:rsidRDefault="00F50070" w:rsidP="00B80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26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112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40" w:type="pct"/>
            <w:gridSpan w:val="2"/>
          </w:tcPr>
          <w:p w:rsidR="00F50070" w:rsidRPr="00F904DE" w:rsidRDefault="00F50070" w:rsidP="00B1126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и проведение конкурентных процедур на ремонт и содержание дорог местного значения вне границ</w:t>
            </w:r>
          </w:p>
        </w:tc>
        <w:tc>
          <w:tcPr>
            <w:tcW w:w="471" w:type="pct"/>
            <w:gridSpan w:val="3"/>
          </w:tcPr>
          <w:p w:rsidR="00F50070" w:rsidRPr="00F904DE" w:rsidRDefault="00F50070" w:rsidP="00B11264">
            <w:pPr>
              <w:adjustRightInd w:val="0"/>
              <w:jc w:val="center"/>
              <w:rPr>
                <w:sz w:val="22"/>
                <w:szCs w:val="22"/>
              </w:rPr>
            </w:pPr>
            <w:r w:rsidRPr="00F904DE">
              <w:rPr>
                <w:sz w:val="22"/>
                <w:szCs w:val="22"/>
              </w:rPr>
              <w:t>Ежегодно</w:t>
            </w:r>
          </w:p>
        </w:tc>
        <w:tc>
          <w:tcPr>
            <w:tcW w:w="804" w:type="pct"/>
            <w:gridSpan w:val="2"/>
          </w:tcPr>
          <w:p w:rsidR="00F50070" w:rsidRPr="00F904DE" w:rsidRDefault="00F50070" w:rsidP="00F904D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ремонта и содержания дорог местного значения вне границ населенных пунктов, проведённый  организациями частной формы собственности, км</w:t>
            </w:r>
          </w:p>
        </w:tc>
        <w:tc>
          <w:tcPr>
            <w:tcW w:w="377" w:type="pct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8" w:type="pct"/>
          </w:tcPr>
          <w:p w:rsidR="00F50070" w:rsidRPr="008E7A02" w:rsidRDefault="00F50070" w:rsidP="00F904D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</w:tcPr>
          <w:p w:rsidR="00F50070" w:rsidRPr="00F904DE" w:rsidRDefault="00F50070" w:rsidP="00260B94">
            <w:pPr>
              <w:adjustRightInd w:val="0"/>
              <w:rPr>
                <w:sz w:val="22"/>
                <w:szCs w:val="22"/>
                <w:highlight w:val="red"/>
              </w:rPr>
            </w:pPr>
            <w:r w:rsidRPr="00F904DE">
              <w:rPr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строительству, дорожному хозяйству администрации Тулунского муниципального района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Pr="00B11264" w:rsidRDefault="00F50070" w:rsidP="00B80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1040" w:type="pct"/>
            <w:gridSpan w:val="2"/>
          </w:tcPr>
          <w:p w:rsidR="00F50070" w:rsidRPr="00F904DE" w:rsidRDefault="00F50070" w:rsidP="00B1126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своевременной и стопроцентной  оплаты выполненных и принятых заказчиком работ</w:t>
            </w:r>
          </w:p>
        </w:tc>
        <w:tc>
          <w:tcPr>
            <w:tcW w:w="471" w:type="pct"/>
            <w:gridSpan w:val="3"/>
          </w:tcPr>
          <w:p w:rsidR="00F50070" w:rsidRPr="00BA31B0" w:rsidRDefault="00F50070" w:rsidP="00BA31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804" w:type="pct"/>
            <w:gridSpan w:val="2"/>
          </w:tcPr>
          <w:p w:rsidR="00F50070" w:rsidRPr="00BA31B0" w:rsidRDefault="00F50070" w:rsidP="00BA31B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своевременно оплаченных контрактов по выполненным и принятым работам,%</w:t>
            </w:r>
          </w:p>
        </w:tc>
        <w:tc>
          <w:tcPr>
            <w:tcW w:w="377" w:type="pct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8" w:type="pct"/>
          </w:tcPr>
          <w:p w:rsidR="00F50070" w:rsidRPr="008E7A02" w:rsidRDefault="00F50070" w:rsidP="00BA31B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2" w:type="pct"/>
          </w:tcPr>
          <w:p w:rsidR="00F50070" w:rsidRPr="00BA31B0" w:rsidRDefault="00F50070" w:rsidP="00260B94">
            <w:pPr>
              <w:adjustRightInd w:val="0"/>
              <w:rPr>
                <w:sz w:val="22"/>
                <w:szCs w:val="22"/>
                <w:highlight w:val="red"/>
              </w:rPr>
            </w:pPr>
            <w:r w:rsidRPr="00BA31B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дминистрация Тулунского муниципального района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 w:val="restart"/>
          </w:tcPr>
          <w:p w:rsidR="00F50070" w:rsidRPr="00134C5C" w:rsidRDefault="00F50070" w:rsidP="00260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1.3.</w:t>
            </w:r>
          </w:p>
        </w:tc>
        <w:tc>
          <w:tcPr>
            <w:tcW w:w="1223" w:type="pct"/>
            <w:gridSpan w:val="3"/>
          </w:tcPr>
          <w:p w:rsidR="00F50070" w:rsidRPr="008E7A02" w:rsidRDefault="00F50070" w:rsidP="00260B94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0" w:type="pct"/>
            <w:gridSpan w:val="15"/>
          </w:tcPr>
          <w:p w:rsidR="00F50070" w:rsidRPr="008E7A02" w:rsidRDefault="00F50070" w:rsidP="00260B94">
            <w:pPr>
              <w:adjustRightInd w:val="0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 xml:space="preserve">Рынок </w:t>
            </w:r>
            <w:r>
              <w:rPr>
                <w:b/>
                <w:sz w:val="22"/>
                <w:szCs w:val="22"/>
              </w:rPr>
              <w:t xml:space="preserve"> теплоснабжения ( производство тепловой энергии)</w:t>
            </w:r>
          </w:p>
        </w:tc>
      </w:tr>
      <w:tr w:rsidR="00F50070" w:rsidRPr="008E7A02" w:rsidTr="006326A8">
        <w:trPr>
          <w:trHeight w:val="20"/>
        </w:trPr>
        <w:tc>
          <w:tcPr>
            <w:tcW w:w="236" w:type="pct"/>
            <w:vMerge/>
          </w:tcPr>
          <w:p w:rsidR="00F50070" w:rsidRDefault="00F50070" w:rsidP="00260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4" w:type="pct"/>
            <w:gridSpan w:val="18"/>
          </w:tcPr>
          <w:p w:rsidR="00F50070" w:rsidRDefault="00F50070" w:rsidP="00BA31B0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Оценка текущего состояния: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итогам 2021 года в Тулунском муниципальном районе общий объем полезного </w:t>
            </w:r>
            <w:r w:rsidR="00713E06">
              <w:rPr>
                <w:sz w:val="22"/>
                <w:szCs w:val="22"/>
              </w:rPr>
              <w:t>отпуска тепловой</w:t>
            </w:r>
            <w:r>
              <w:rPr>
                <w:sz w:val="22"/>
                <w:szCs w:val="22"/>
              </w:rPr>
              <w:t xml:space="preserve"> энергии составил 22308,3 Гкал, в том числе:</w:t>
            </w:r>
          </w:p>
          <w:p w:rsidR="00F50070" w:rsidRDefault="00F50070" w:rsidP="006326A8">
            <w:pPr>
              <w:numPr>
                <w:ilvl w:val="0"/>
                <w:numId w:val="20"/>
              </w:num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Организацией частной собственности – 2918 Гкал (15%).</w:t>
            </w:r>
          </w:p>
          <w:p w:rsidR="00F50070" w:rsidRDefault="00F50070" w:rsidP="006326A8">
            <w:pPr>
              <w:numPr>
                <w:ilvl w:val="0"/>
                <w:numId w:val="20"/>
              </w:num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Организацией муниципальной собственности – 19390,3 Гкал (85%).</w:t>
            </w:r>
          </w:p>
          <w:p w:rsidR="00F50070" w:rsidRPr="008E7A02" w:rsidRDefault="00F50070" w:rsidP="00713E06">
            <w:pPr>
              <w:adjustRightInd w:val="0"/>
              <w:ind w:lef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Проблемные вопросы по рынку отсутствуют. Неэффективные предприятия отсутствуют. Таким образом, рынок теплоснабжения включен в Перечень для дальнейшего содействия развитию конкуренции на данном рынке.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/>
          </w:tcPr>
          <w:p w:rsidR="00F50070" w:rsidRDefault="00F50070" w:rsidP="00F757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pct"/>
            <w:gridSpan w:val="7"/>
          </w:tcPr>
          <w:p w:rsidR="00F50070" w:rsidRPr="008E7A02" w:rsidRDefault="00F50070" w:rsidP="00F7572A">
            <w:pPr>
              <w:adjustRightInd w:val="0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Ключевой показатель:</w:t>
            </w:r>
          </w:p>
          <w:p w:rsidR="00F50070" w:rsidRPr="008E7A02" w:rsidRDefault="00F50070" w:rsidP="00F7572A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 организаций Частной формы собственности в сфере теплоснабжения ( производство тепловой энергии),%</w:t>
            </w:r>
          </w:p>
        </w:tc>
        <w:tc>
          <w:tcPr>
            <w:tcW w:w="377" w:type="pct"/>
          </w:tcPr>
          <w:p w:rsidR="00F50070" w:rsidRPr="008E7A02" w:rsidRDefault="00F50070" w:rsidP="00F7572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F7572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F7572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F7572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" w:type="pct"/>
          </w:tcPr>
          <w:p w:rsidR="00F50070" w:rsidRPr="008E7A02" w:rsidRDefault="00F50070" w:rsidP="00BF692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2" w:type="pct"/>
          </w:tcPr>
          <w:p w:rsidR="00F50070" w:rsidRPr="008E7A02" w:rsidRDefault="00F50070" w:rsidP="00F7572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 Азейское, Алгатуйское, Афанасьевское,Будаговское, Бурхунское, Писаревское, Шерагульское.</w:t>
            </w:r>
          </w:p>
        </w:tc>
      </w:tr>
      <w:tr w:rsidR="00F50070" w:rsidRPr="008E7A02" w:rsidTr="00BF692E">
        <w:trPr>
          <w:trHeight w:val="20"/>
        </w:trPr>
        <w:tc>
          <w:tcPr>
            <w:tcW w:w="236" w:type="pct"/>
            <w:vMerge/>
          </w:tcPr>
          <w:p w:rsidR="00F50070" w:rsidRDefault="00F50070" w:rsidP="00F757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4" w:type="pct"/>
            <w:gridSpan w:val="18"/>
          </w:tcPr>
          <w:p w:rsidR="00F50070" w:rsidRPr="008E7A02" w:rsidRDefault="00F50070" w:rsidP="00F7572A">
            <w:pPr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Default="00F50070" w:rsidP="00260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1040" w:type="pct"/>
            <w:gridSpan w:val="2"/>
          </w:tcPr>
          <w:p w:rsidR="00F50070" w:rsidRPr="008E7A02" w:rsidRDefault="00F50070" w:rsidP="00260B9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Создание условий для передачи объектов коммунальной инфраструктуры частным предприятиям по концессионным соглашениям.</w:t>
            </w:r>
          </w:p>
        </w:tc>
        <w:tc>
          <w:tcPr>
            <w:tcW w:w="471" w:type="pct"/>
            <w:gridSpan w:val="3"/>
          </w:tcPr>
          <w:p w:rsidR="00F50070" w:rsidRPr="008E7A02" w:rsidRDefault="00F50070" w:rsidP="00134C5C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Ежегодно</w:t>
            </w:r>
          </w:p>
        </w:tc>
        <w:tc>
          <w:tcPr>
            <w:tcW w:w="804" w:type="pct"/>
            <w:gridSpan w:val="2"/>
          </w:tcPr>
          <w:p w:rsidR="00F50070" w:rsidRPr="008E7A02" w:rsidRDefault="00F50070" w:rsidP="00BF69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 организаций Частной формы собственности  в сфере теплоснабжения   (производство тепловой энергии),%</w:t>
            </w:r>
          </w:p>
        </w:tc>
        <w:tc>
          <w:tcPr>
            <w:tcW w:w="377" w:type="pct"/>
          </w:tcPr>
          <w:p w:rsidR="00F50070" w:rsidRPr="008E7A02" w:rsidRDefault="00F50070" w:rsidP="001E5FA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1E5FA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1E5FA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1E5FA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" w:type="pct"/>
          </w:tcPr>
          <w:p w:rsidR="00F50070" w:rsidRPr="008E7A02" w:rsidRDefault="00F50070" w:rsidP="001E5FA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2" w:type="pct"/>
          </w:tcPr>
          <w:p w:rsidR="00F50070" w:rsidRPr="008E7A02" w:rsidRDefault="00F50070" w:rsidP="001E5FA6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 Азейское, Алгатуйское, Афанасьевское,Будаговское, Бурхунское, Писаревское, Шерагульское.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 w:val="restart"/>
          </w:tcPr>
          <w:p w:rsidR="00F50070" w:rsidRPr="00B915A9" w:rsidRDefault="00F50070" w:rsidP="00260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1.4.</w:t>
            </w:r>
          </w:p>
        </w:tc>
        <w:tc>
          <w:tcPr>
            <w:tcW w:w="1223" w:type="pct"/>
            <w:gridSpan w:val="3"/>
          </w:tcPr>
          <w:p w:rsidR="00F50070" w:rsidRPr="008E7A02" w:rsidRDefault="00F50070" w:rsidP="00260B94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0" w:type="pct"/>
            <w:gridSpan w:val="15"/>
          </w:tcPr>
          <w:p w:rsidR="00F50070" w:rsidRPr="008E7A02" w:rsidRDefault="00F50070" w:rsidP="00260B94">
            <w:pPr>
              <w:adjustRightInd w:val="0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/>
          </w:tcPr>
          <w:p w:rsidR="00F50070" w:rsidRDefault="00F50070" w:rsidP="00260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3"/>
          </w:tcPr>
          <w:p w:rsidR="00F50070" w:rsidRPr="008E7A02" w:rsidRDefault="00F50070" w:rsidP="00260B94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0" w:type="pct"/>
            <w:gridSpan w:val="15"/>
          </w:tcPr>
          <w:p w:rsidR="00F50070" w:rsidRDefault="00F50070" w:rsidP="00924166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Оценка текущего состояния: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соответствии с частью 2 статьи 161 Жилищного кодекса РФ собственники </w:t>
            </w:r>
            <w:r>
              <w:rPr>
                <w:sz w:val="22"/>
                <w:szCs w:val="22"/>
              </w:rPr>
              <w:lastRenderedPageBreak/>
              <w:t xml:space="preserve">помещений в многоквартирном </w:t>
            </w:r>
            <w:r w:rsidR="00713E06">
              <w:rPr>
                <w:sz w:val="22"/>
                <w:szCs w:val="22"/>
              </w:rPr>
              <w:t>доме (</w:t>
            </w:r>
            <w:r>
              <w:rPr>
                <w:sz w:val="22"/>
                <w:szCs w:val="22"/>
              </w:rPr>
              <w:t>МКД) обязаны выбрать один из способов управления в МКД:</w:t>
            </w:r>
          </w:p>
          <w:p w:rsidR="00F50070" w:rsidRDefault="00F50070" w:rsidP="009241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1.Непосредственное управление собственниками помещений в МКД, количество квартир в котором составляет не более чем 30;</w:t>
            </w:r>
          </w:p>
          <w:p w:rsidR="00F50070" w:rsidRDefault="00F50070" w:rsidP="009241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Управление товариществом собственников жилья либо жилищным кооперативом </w:t>
            </w:r>
            <w:r w:rsidR="00713E06">
              <w:rPr>
                <w:sz w:val="22"/>
                <w:szCs w:val="22"/>
              </w:rPr>
              <w:t>или иным</w:t>
            </w:r>
            <w:r>
              <w:rPr>
                <w:sz w:val="22"/>
                <w:szCs w:val="22"/>
              </w:rPr>
              <w:t xml:space="preserve"> </w:t>
            </w:r>
            <w:r w:rsidR="00713E06">
              <w:rPr>
                <w:sz w:val="22"/>
                <w:szCs w:val="22"/>
              </w:rPr>
              <w:t>специализированным потребительским</w:t>
            </w:r>
            <w:r>
              <w:rPr>
                <w:sz w:val="22"/>
                <w:szCs w:val="22"/>
              </w:rPr>
              <w:t xml:space="preserve"> кооперативом;</w:t>
            </w:r>
          </w:p>
          <w:p w:rsidR="00F50070" w:rsidRDefault="00F50070" w:rsidP="009241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Управление управляющей организацией.</w:t>
            </w:r>
          </w:p>
          <w:p w:rsidR="00F50070" w:rsidRDefault="00F50070" w:rsidP="009241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по управлению МКД </w:t>
            </w:r>
            <w:r w:rsidR="00713E06">
              <w:rPr>
                <w:sz w:val="22"/>
                <w:szCs w:val="22"/>
              </w:rPr>
              <w:t>(выполнение</w:t>
            </w:r>
            <w:r>
              <w:rPr>
                <w:sz w:val="22"/>
                <w:szCs w:val="22"/>
              </w:rPr>
              <w:t xml:space="preserve"> работ и </w:t>
            </w:r>
            <w:r w:rsidR="00713E06">
              <w:rPr>
                <w:sz w:val="22"/>
                <w:szCs w:val="22"/>
              </w:rPr>
              <w:t>(или</w:t>
            </w:r>
            <w:r>
              <w:rPr>
                <w:sz w:val="22"/>
                <w:szCs w:val="22"/>
              </w:rPr>
              <w:t xml:space="preserve">) оказание услуг по управлению </w:t>
            </w:r>
            <w:r w:rsidR="00713E06">
              <w:rPr>
                <w:sz w:val="22"/>
                <w:szCs w:val="22"/>
              </w:rPr>
              <w:t>МКД на</w:t>
            </w:r>
            <w:r>
              <w:rPr>
                <w:sz w:val="22"/>
                <w:szCs w:val="22"/>
              </w:rPr>
              <w:t xml:space="preserve"> основании договора управления МКД) осуществляется управляющими </w:t>
            </w:r>
            <w:r w:rsidR="00713E06">
              <w:rPr>
                <w:sz w:val="22"/>
                <w:szCs w:val="22"/>
              </w:rPr>
              <w:t>организациями на</w:t>
            </w:r>
            <w:r>
              <w:rPr>
                <w:sz w:val="22"/>
                <w:szCs w:val="22"/>
              </w:rPr>
              <w:t xml:space="preserve"> основании лицензии на осуществлении предпринимательской деятельности по управлению МКД, выданной органом государственного жилищного надзора на основании решения лицензионной комиссии субъекта РФ.</w:t>
            </w:r>
          </w:p>
          <w:p w:rsidR="00F50070" w:rsidRDefault="00F50070" w:rsidP="009241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формой статистического наблюдения № 22-ЖКХ (реформа) «Сведения о структурных преобразованиях и организационных мероприятиях в сфере жилищно-коммунального хозяйства», утвержденной приказом Федеральной службы государственной статистики от 10.07.2015г. № 305, на 01.01.2022г. доля площади помещений в МКД, находящихся в управлении управляющих организаций только частной формы собственности, составила 28%.</w:t>
            </w:r>
          </w:p>
          <w:p w:rsidR="00F50070" w:rsidRDefault="00F50070" w:rsidP="009241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управления МКД не выбран и не реализован в п.4-е отделение ГСС в 1 доме, </w:t>
            </w:r>
            <w:r w:rsidR="00713E06">
              <w:rPr>
                <w:sz w:val="22"/>
                <w:szCs w:val="22"/>
              </w:rPr>
              <w:t>в с.</w:t>
            </w:r>
            <w:r>
              <w:rPr>
                <w:sz w:val="22"/>
                <w:szCs w:val="22"/>
              </w:rPr>
              <w:t xml:space="preserve"> Азей в 5 домах.</w:t>
            </w:r>
          </w:p>
          <w:p w:rsidR="00F50070" w:rsidRDefault="00F50070" w:rsidP="009241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Неоднократно объявлялся открытый конкурс на право заключения договора управления МКД, </w:t>
            </w:r>
            <w:r w:rsidR="00713E06">
              <w:rPr>
                <w:sz w:val="22"/>
                <w:szCs w:val="22"/>
              </w:rPr>
              <w:t>Конкурсы признавались</w:t>
            </w:r>
            <w:r>
              <w:rPr>
                <w:sz w:val="22"/>
                <w:szCs w:val="22"/>
              </w:rPr>
              <w:t xml:space="preserve"> не состоявшимися в связи с отсутствием участников.</w:t>
            </w:r>
          </w:p>
          <w:p w:rsidR="00F50070" w:rsidRPr="00924166" w:rsidRDefault="00F50070" w:rsidP="009241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Таким образом, рынок выполнения работ по содержанию и текущему </w:t>
            </w:r>
            <w:r w:rsidR="00713E06">
              <w:rPr>
                <w:sz w:val="22"/>
                <w:szCs w:val="22"/>
              </w:rPr>
              <w:t>ремонту общего</w:t>
            </w:r>
            <w:r>
              <w:rPr>
                <w:sz w:val="22"/>
                <w:szCs w:val="22"/>
              </w:rPr>
              <w:t xml:space="preserve"> имущества </w:t>
            </w:r>
            <w:r w:rsidR="00713E06">
              <w:rPr>
                <w:sz w:val="22"/>
                <w:szCs w:val="22"/>
              </w:rPr>
              <w:t>собственников помещений</w:t>
            </w:r>
            <w:r>
              <w:rPr>
                <w:sz w:val="22"/>
                <w:szCs w:val="22"/>
              </w:rPr>
              <w:t xml:space="preserve"> в многоквартирном доме включен в Перечень для дальнейшего содействия развитию конкуренции на данном рынке и решения существующей проблемы по выбору и реализации способа управления МКД.</w:t>
            </w:r>
          </w:p>
          <w:p w:rsidR="00F50070" w:rsidRPr="008E7A02" w:rsidRDefault="00F50070" w:rsidP="00260B94">
            <w:pPr>
              <w:adjustRightInd w:val="0"/>
              <w:rPr>
                <w:sz w:val="22"/>
                <w:szCs w:val="22"/>
              </w:rPr>
            </w:pP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/>
          </w:tcPr>
          <w:p w:rsidR="00F50070" w:rsidRDefault="00F50070" w:rsidP="00260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pct"/>
            <w:gridSpan w:val="7"/>
          </w:tcPr>
          <w:p w:rsidR="00F50070" w:rsidRPr="008E7A02" w:rsidRDefault="00F50070" w:rsidP="00134C5C">
            <w:pPr>
              <w:adjustRightInd w:val="0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Ключевой показатель:</w:t>
            </w:r>
          </w:p>
          <w:p w:rsidR="00F50070" w:rsidRPr="008E7A02" w:rsidRDefault="00F50070" w:rsidP="00134C5C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377" w:type="pct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260B9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8" w:type="pct"/>
          </w:tcPr>
          <w:p w:rsidR="00F50070" w:rsidRPr="008E7A02" w:rsidRDefault="00F50070" w:rsidP="00B52A8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2" w:type="pct"/>
          </w:tcPr>
          <w:p w:rsidR="00F50070" w:rsidRPr="008E7A02" w:rsidRDefault="00F50070" w:rsidP="00260B9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Азейского и Писаревского сельских поселений Тулунского муниципального района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Default="00F50070" w:rsidP="00134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1.4.1.</w:t>
            </w:r>
          </w:p>
        </w:tc>
        <w:tc>
          <w:tcPr>
            <w:tcW w:w="1040" w:type="pct"/>
            <w:gridSpan w:val="2"/>
          </w:tcPr>
          <w:p w:rsidR="00F50070" w:rsidRPr="008E7A02" w:rsidRDefault="00F50070" w:rsidP="00CB061C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Оказание консультативной и методической помощи собственникам помещений МКД, в отношении которых способ управления не выбран собственниками и не определен органами местного самоуправления</w:t>
            </w:r>
          </w:p>
        </w:tc>
        <w:tc>
          <w:tcPr>
            <w:tcW w:w="471" w:type="pct"/>
            <w:gridSpan w:val="3"/>
          </w:tcPr>
          <w:p w:rsidR="00F50070" w:rsidRPr="008E7A02" w:rsidRDefault="00F50070" w:rsidP="00134C5C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Ежегодно</w:t>
            </w:r>
          </w:p>
        </w:tc>
        <w:tc>
          <w:tcPr>
            <w:tcW w:w="804" w:type="pct"/>
            <w:gridSpan w:val="2"/>
          </w:tcPr>
          <w:p w:rsidR="00F50070" w:rsidRPr="008E7A02" w:rsidRDefault="00F50070" w:rsidP="00CB061C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Доля МКД, в отношении которых способ управления не выбран собственниками и не определен органами местного самоуправления, %</w:t>
            </w:r>
          </w:p>
        </w:tc>
        <w:tc>
          <w:tcPr>
            <w:tcW w:w="377" w:type="pct"/>
          </w:tcPr>
          <w:p w:rsidR="00F50070" w:rsidRPr="008E7A02" w:rsidRDefault="00F50070" w:rsidP="00134C5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134C5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134C5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134C5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8" w:type="pct"/>
          </w:tcPr>
          <w:p w:rsidR="00F50070" w:rsidRPr="008E7A02" w:rsidRDefault="00F50070" w:rsidP="00B52A8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2" w:type="pct"/>
          </w:tcPr>
          <w:p w:rsidR="00F50070" w:rsidRPr="008E7A02" w:rsidRDefault="00F50070" w:rsidP="00134C5C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Азейского и Писаревского сельских поселений Тулунского муниципального района</w:t>
            </w:r>
          </w:p>
        </w:tc>
      </w:tr>
      <w:tr w:rsidR="00F50070" w:rsidRPr="008E7A02" w:rsidTr="002504A2">
        <w:trPr>
          <w:trHeight w:val="20"/>
        </w:trPr>
        <w:tc>
          <w:tcPr>
            <w:tcW w:w="1253" w:type="pct"/>
            <w:gridSpan w:val="2"/>
          </w:tcPr>
          <w:p w:rsidR="00F50070" w:rsidRPr="00A95979" w:rsidRDefault="00F50070" w:rsidP="00B915A9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7" w:type="pct"/>
            <w:gridSpan w:val="17"/>
          </w:tcPr>
          <w:p w:rsidR="00F50070" w:rsidRPr="008E7A02" w:rsidRDefault="00F50070" w:rsidP="00B915A9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 План мероприятий по развитию конкуренции на товарных рынках, установленных в дополнение</w:t>
            </w:r>
          </w:p>
          <w:p w:rsidR="00F50070" w:rsidRPr="008E7A02" w:rsidRDefault="00F50070" w:rsidP="00B915A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>к утвержденным распоряжением Правительства Российской Федерации от 17 апреля 2019 года № 768-р товарным рынкам</w:t>
            </w:r>
          </w:p>
          <w:p w:rsidR="00F50070" w:rsidRPr="008E7A02" w:rsidRDefault="00F50070" w:rsidP="00B915A9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 w:val="restart"/>
          </w:tcPr>
          <w:p w:rsidR="00F50070" w:rsidRPr="00174091" w:rsidRDefault="00F50070" w:rsidP="00B91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091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23" w:type="pct"/>
            <w:gridSpan w:val="3"/>
          </w:tcPr>
          <w:p w:rsidR="00F50070" w:rsidRPr="008E7A02" w:rsidRDefault="00F50070" w:rsidP="00B915A9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0" w:type="pct"/>
            <w:gridSpan w:val="15"/>
          </w:tcPr>
          <w:p w:rsidR="00F50070" w:rsidRPr="008E7A02" w:rsidRDefault="00F50070" w:rsidP="00B915A9">
            <w:pPr>
              <w:adjustRightInd w:val="0"/>
              <w:rPr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Рынок торговли</w:t>
            </w:r>
            <w:r w:rsidRPr="008E7A02">
              <w:rPr>
                <w:rStyle w:val="aff5"/>
                <w:sz w:val="22"/>
                <w:szCs w:val="22"/>
              </w:rPr>
              <w:footnoteReference w:id="1"/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  <w:vMerge/>
          </w:tcPr>
          <w:p w:rsidR="00F50070" w:rsidRDefault="00F50070" w:rsidP="00B91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3"/>
          </w:tcPr>
          <w:p w:rsidR="00F50070" w:rsidRPr="008E7A02" w:rsidRDefault="00F50070" w:rsidP="00174091">
            <w:pPr>
              <w:rPr>
                <w:b/>
                <w:sz w:val="22"/>
                <w:szCs w:val="22"/>
              </w:rPr>
            </w:pPr>
          </w:p>
        </w:tc>
        <w:tc>
          <w:tcPr>
            <w:tcW w:w="3540" w:type="pct"/>
            <w:gridSpan w:val="15"/>
          </w:tcPr>
          <w:p w:rsidR="00F50070" w:rsidRPr="008E7A02" w:rsidRDefault="00F50070" w:rsidP="00174091">
            <w:pPr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Оценка текущего состояния:</w:t>
            </w:r>
          </w:p>
          <w:p w:rsidR="00F50070" w:rsidRPr="008E7A02" w:rsidRDefault="00F50070" w:rsidP="00B915A9">
            <w:pPr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Сфера розничной торговли Тулунского района характеризуется высоким уровнем развития конкуренции. В структуре оборота розничной торговли района доля размещения нестационарных торговых объектов на территории Тулунского </w:t>
            </w:r>
            <w:r w:rsidR="00713E06">
              <w:rPr>
                <w:color w:val="000000"/>
                <w:sz w:val="22"/>
                <w:szCs w:val="22"/>
              </w:rPr>
              <w:t>района составляет</w:t>
            </w:r>
            <w:r>
              <w:rPr>
                <w:color w:val="000000"/>
                <w:sz w:val="22"/>
                <w:szCs w:val="22"/>
              </w:rPr>
              <w:t xml:space="preserve"> 11,0%. Положительная динамика развития инфраструктуры розничной торговли также свидетельствует о благоприятной конкурентной среде, сложившейся в данной сфере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Default="00F50070" w:rsidP="00B91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pct"/>
            <w:gridSpan w:val="7"/>
          </w:tcPr>
          <w:p w:rsidR="00F50070" w:rsidRPr="008E7A02" w:rsidRDefault="00F50070" w:rsidP="00174091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Ключевой показатель:</w:t>
            </w:r>
          </w:p>
          <w:p w:rsidR="00F50070" w:rsidRPr="008E7A02" w:rsidRDefault="00F50070" w:rsidP="00C15BB0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  <w:lang w:eastAsia="en-US"/>
              </w:rPr>
              <w:t xml:space="preserve">увеличение количества нестационарных торговых объектов и торговых мест под них, % по отношению к показателям </w:t>
            </w:r>
            <w:r w:rsidRPr="008E7A02">
              <w:rPr>
                <w:sz w:val="22"/>
                <w:szCs w:val="22"/>
                <w:lang w:eastAsia="en-US"/>
              </w:rPr>
              <w:br/>
              <w:t>2020 года</w:t>
            </w:r>
            <w:r w:rsidRPr="008E7A02">
              <w:rPr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377" w:type="pct"/>
          </w:tcPr>
          <w:p w:rsidR="00F50070" w:rsidRPr="008E7A02" w:rsidRDefault="00F50070" w:rsidP="00B915A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B915A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B915A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" w:type="pct"/>
            <w:gridSpan w:val="2"/>
          </w:tcPr>
          <w:p w:rsidR="00F50070" w:rsidRPr="007C7737" w:rsidRDefault="00F50070" w:rsidP="00C15BB0">
            <w:pPr>
              <w:adjustRightInd w:val="0"/>
              <w:jc w:val="center"/>
              <w:rPr>
                <w:sz w:val="22"/>
                <w:szCs w:val="22"/>
                <w:highlight w:val="red"/>
              </w:rPr>
            </w:pPr>
            <w:r w:rsidRPr="007C7737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</w:tcPr>
          <w:p w:rsidR="00F50070" w:rsidRPr="008E7A02" w:rsidRDefault="00F50070" w:rsidP="00C15BB0">
            <w:pPr>
              <w:adjustRightInd w:val="0"/>
              <w:jc w:val="center"/>
              <w:rPr>
                <w:sz w:val="22"/>
                <w:szCs w:val="22"/>
                <w:highlight w:val="red"/>
              </w:rPr>
            </w:pPr>
            <w:r w:rsidRPr="008E7A02">
              <w:rPr>
                <w:sz w:val="22"/>
                <w:szCs w:val="22"/>
              </w:rPr>
              <w:t>10</w:t>
            </w:r>
          </w:p>
        </w:tc>
        <w:tc>
          <w:tcPr>
            <w:tcW w:w="562" w:type="pct"/>
          </w:tcPr>
          <w:p w:rsidR="00F50070" w:rsidRPr="008E7A02" w:rsidRDefault="00F50070" w:rsidP="00B915A9">
            <w:pPr>
              <w:adjustRightInd w:val="0"/>
              <w:rPr>
                <w:sz w:val="22"/>
                <w:szCs w:val="22"/>
              </w:rPr>
            </w:pP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Default="00F50070" w:rsidP="00174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A8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A6A8F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040" w:type="pct"/>
            <w:gridSpan w:val="2"/>
            <w:shd w:val="clear" w:color="auto" w:fill="FFFFFF"/>
          </w:tcPr>
          <w:p w:rsidR="00F50070" w:rsidRPr="008E7A02" w:rsidRDefault="00F50070" w:rsidP="000A28D3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 xml:space="preserve">Разработка и утверждение плана мероприятий по </w:t>
            </w:r>
            <w:r w:rsidRPr="008E7A02">
              <w:rPr>
                <w:sz w:val="22"/>
                <w:szCs w:val="22"/>
              </w:rPr>
              <w:lastRenderedPageBreak/>
              <w:t>развитию многоформатной торговли на территории муниципального образования Иркутской области, предусматривающий мероприятия по увеличению количества нестационарных торговых объектов и торговых мест на ярмарках</w:t>
            </w:r>
          </w:p>
        </w:tc>
        <w:tc>
          <w:tcPr>
            <w:tcW w:w="476" w:type="pct"/>
            <w:gridSpan w:val="4"/>
            <w:shd w:val="clear" w:color="auto" w:fill="FFFFFF"/>
          </w:tcPr>
          <w:p w:rsidR="00F50070" w:rsidRPr="008E7A02" w:rsidRDefault="00F50070" w:rsidP="000A28D3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31.12.2022</w:t>
            </w:r>
          </w:p>
        </w:tc>
        <w:tc>
          <w:tcPr>
            <w:tcW w:w="799" w:type="pct"/>
            <w:shd w:val="clear" w:color="auto" w:fill="FFFFFF"/>
          </w:tcPr>
          <w:p w:rsidR="00F50070" w:rsidRPr="008E7A02" w:rsidRDefault="00F50070" w:rsidP="000A28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и направление в службу </w:t>
            </w:r>
            <w:r>
              <w:rPr>
                <w:sz w:val="22"/>
                <w:szCs w:val="22"/>
              </w:rPr>
              <w:lastRenderedPageBreak/>
              <w:t xml:space="preserve">потребительского рынка и </w:t>
            </w:r>
            <w:r w:rsidR="00713E06">
              <w:rPr>
                <w:sz w:val="22"/>
                <w:szCs w:val="22"/>
              </w:rPr>
              <w:t>лицензирования Иркутской</w:t>
            </w:r>
            <w:r>
              <w:rPr>
                <w:sz w:val="22"/>
                <w:szCs w:val="22"/>
              </w:rPr>
              <w:t xml:space="preserve"> области предложений в план мероприятий по развитию многоформатной торговли на территории Иркутской области, предусматривающий мероприятия      </w:t>
            </w:r>
            <w:r w:rsidRPr="008E7A02">
              <w:rPr>
                <w:sz w:val="22"/>
                <w:szCs w:val="22"/>
              </w:rPr>
              <w:t>по</w:t>
            </w:r>
          </w:p>
          <w:p w:rsidR="00F50070" w:rsidRPr="008E7A02" w:rsidRDefault="00F50070" w:rsidP="000A28D3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увеличению количества</w:t>
            </w:r>
          </w:p>
          <w:p w:rsidR="00F50070" w:rsidRPr="008E7A02" w:rsidRDefault="00F50070" w:rsidP="000A28D3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торговых мест на</w:t>
            </w:r>
          </w:p>
          <w:p w:rsidR="00F50070" w:rsidRPr="008E7A02" w:rsidRDefault="00F50070" w:rsidP="000A28D3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ярмарках и</w:t>
            </w:r>
          </w:p>
          <w:p w:rsidR="00F50070" w:rsidRPr="008E7A02" w:rsidRDefault="00F50070" w:rsidP="000A28D3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нестационарных</w:t>
            </w:r>
          </w:p>
          <w:p w:rsidR="00F50070" w:rsidRPr="008E7A02" w:rsidRDefault="00F50070" w:rsidP="000A28D3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торговых объектов,</w:t>
            </w:r>
          </w:p>
          <w:p w:rsidR="00F50070" w:rsidRPr="008E7A02" w:rsidRDefault="00F50070" w:rsidP="000A28D3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да/нет</w:t>
            </w:r>
          </w:p>
        </w:tc>
        <w:tc>
          <w:tcPr>
            <w:tcW w:w="377" w:type="pct"/>
          </w:tcPr>
          <w:p w:rsidR="00F50070" w:rsidRPr="008E7A02" w:rsidRDefault="00F50070" w:rsidP="00174091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174091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174091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174091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8" w:type="pct"/>
          </w:tcPr>
          <w:p w:rsidR="00F50070" w:rsidRPr="008E7A02" w:rsidRDefault="00F50070" w:rsidP="00316FBF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62" w:type="pct"/>
          </w:tcPr>
          <w:p w:rsidR="00F50070" w:rsidRPr="008E7A02" w:rsidRDefault="00F50070" w:rsidP="00174091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</w:t>
            </w:r>
            <w:r>
              <w:rPr>
                <w:sz w:val="22"/>
                <w:szCs w:val="22"/>
              </w:rPr>
              <w:lastRenderedPageBreak/>
              <w:t>развитию предпринимательства администрации Тулунского муниципального района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Pr="005A6A8F" w:rsidRDefault="00F50070" w:rsidP="00174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1040" w:type="pct"/>
            <w:gridSpan w:val="2"/>
            <w:shd w:val="clear" w:color="auto" w:fill="FFFFFF"/>
          </w:tcPr>
          <w:p w:rsidR="00F50070" w:rsidRPr="008E7A02" w:rsidRDefault="00F50070" w:rsidP="000A28D3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 xml:space="preserve">Актуализация и размещение на официальных сайтах органов местного самоуправления муниципальных образований Иркутской области в информационно-телекоммуникационной сети «Интернет» схем размещения нестационарных торговых объектов, утвержденных органами местного самоуправления муниципальных образований </w:t>
            </w:r>
            <w:r w:rsidRPr="008E7A02">
              <w:rPr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476" w:type="pct"/>
            <w:gridSpan w:val="4"/>
            <w:shd w:val="clear" w:color="auto" w:fill="FFFFFF"/>
          </w:tcPr>
          <w:p w:rsidR="00F50070" w:rsidRPr="008E7A02" w:rsidRDefault="00F50070" w:rsidP="000A28D3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799" w:type="pct"/>
            <w:shd w:val="clear" w:color="auto" w:fill="FFFFFF"/>
          </w:tcPr>
          <w:p w:rsidR="00F50070" w:rsidRPr="008E7A02" w:rsidRDefault="00F50070" w:rsidP="000A28D3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 xml:space="preserve">Актуализированы и размещены на официальных сайтах органов местного самоуправления муниципальных образований Иркутской области в информационно-телекоммуникационной сети «Интернет» схемы размещения нестационарных </w:t>
            </w:r>
            <w:r w:rsidRPr="008E7A02">
              <w:rPr>
                <w:sz w:val="22"/>
                <w:szCs w:val="22"/>
              </w:rPr>
              <w:lastRenderedPageBreak/>
              <w:t>торговых объектов, да/нет</w:t>
            </w:r>
          </w:p>
        </w:tc>
        <w:tc>
          <w:tcPr>
            <w:tcW w:w="377" w:type="pct"/>
          </w:tcPr>
          <w:p w:rsidR="00F50070" w:rsidRPr="008E7A02" w:rsidRDefault="00F50070" w:rsidP="00174091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174091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174091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174091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8" w:type="pct"/>
          </w:tcPr>
          <w:p w:rsidR="00F50070" w:rsidRPr="008E7A02" w:rsidRDefault="00F50070" w:rsidP="00316FBF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62" w:type="pct"/>
          </w:tcPr>
          <w:p w:rsidR="00F50070" w:rsidRPr="008E7A02" w:rsidRDefault="00F50070" w:rsidP="00174091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</w:tr>
      <w:tr w:rsidR="00F50070" w:rsidRPr="008E7A02" w:rsidTr="002504A2">
        <w:trPr>
          <w:trHeight w:val="20"/>
        </w:trPr>
        <w:tc>
          <w:tcPr>
            <w:tcW w:w="1253" w:type="pct"/>
            <w:gridSpan w:val="2"/>
          </w:tcPr>
          <w:p w:rsidR="00F50070" w:rsidRPr="005A6A8F" w:rsidRDefault="00F50070" w:rsidP="00B91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7" w:type="pct"/>
            <w:gridSpan w:val="17"/>
          </w:tcPr>
          <w:p w:rsidR="00F50070" w:rsidRPr="008E7A02" w:rsidRDefault="00F50070" w:rsidP="00B91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>Раздел 3. Системные мероприятия по развитию конкуренции в Иркутской области, разработанные в рамках направлений,</w:t>
            </w: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утвержденных распоряжением Правительства Российской Федерации от 17 апреля 2019 года № 768-р</w:t>
            </w:r>
          </w:p>
          <w:p w:rsidR="00F50070" w:rsidRPr="008E7A02" w:rsidRDefault="00F50070" w:rsidP="00EE7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Pr="004747A8" w:rsidRDefault="00F50070" w:rsidP="00E37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7A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747A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29" w:type="pct"/>
            <w:gridSpan w:val="4"/>
          </w:tcPr>
          <w:p w:rsidR="00F50070" w:rsidRPr="008E7A02" w:rsidRDefault="00F50070" w:rsidP="00E3731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534" w:type="pct"/>
            <w:gridSpan w:val="14"/>
          </w:tcPr>
          <w:p w:rsidR="00F50070" w:rsidRPr="008E7A02" w:rsidRDefault="00F50070" w:rsidP="004747A8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Определение состава имущества, 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области, и его приватизация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7A02">
              <w:rPr>
                <w:b/>
                <w:sz w:val="22"/>
                <w:szCs w:val="22"/>
              </w:rPr>
              <w:t>либо перепрофилирование (изменение целевого назначения имущества)</w:t>
            </w:r>
            <w:r w:rsidRPr="008E7A02">
              <w:rPr>
                <w:rStyle w:val="aff5"/>
                <w:b/>
                <w:sz w:val="22"/>
                <w:szCs w:val="22"/>
              </w:rPr>
              <w:footnoteReference w:id="3"/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Default="00F50070" w:rsidP="00B466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1040" w:type="pct"/>
            <w:gridSpan w:val="2"/>
          </w:tcPr>
          <w:p w:rsidR="00F50070" w:rsidRPr="008E7A02" w:rsidRDefault="00F50070" w:rsidP="00B466C4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Составление плана-графика</w:t>
            </w:r>
          </w:p>
          <w:p w:rsidR="00F50070" w:rsidRPr="008E7A02" w:rsidRDefault="00F50070" w:rsidP="00B466C4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полной инвентаризации</w:t>
            </w:r>
          </w:p>
          <w:p w:rsidR="00F50070" w:rsidRPr="008E7A02" w:rsidRDefault="00F50070" w:rsidP="00B466C4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имущества, находящегося в собственности муниципального образования Иркутской области, в том числе закрепленного за</w:t>
            </w:r>
          </w:p>
          <w:p w:rsidR="00F50070" w:rsidRPr="008E7A02" w:rsidRDefault="00F50070" w:rsidP="00B466C4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муниципальными предприятиями</w:t>
            </w:r>
          </w:p>
          <w:p w:rsidR="00F50070" w:rsidRPr="008E7A02" w:rsidRDefault="00F50070" w:rsidP="00B466C4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 учреждениями</w:t>
            </w:r>
          </w:p>
        </w:tc>
        <w:tc>
          <w:tcPr>
            <w:tcW w:w="476" w:type="pct"/>
            <w:gridSpan w:val="4"/>
          </w:tcPr>
          <w:p w:rsidR="00F50070" w:rsidRPr="008E7A02" w:rsidRDefault="00F50070" w:rsidP="00D54CE5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31.12.2022</w:t>
            </w:r>
          </w:p>
        </w:tc>
        <w:tc>
          <w:tcPr>
            <w:tcW w:w="799" w:type="pct"/>
          </w:tcPr>
          <w:p w:rsidR="00F50070" w:rsidRPr="008E7A02" w:rsidRDefault="00F50070" w:rsidP="00B466C4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Утвержден план-график</w:t>
            </w:r>
          </w:p>
          <w:p w:rsidR="00F50070" w:rsidRPr="008E7A02" w:rsidRDefault="00F50070" w:rsidP="00B466C4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полной инвентаризации</w:t>
            </w:r>
          </w:p>
          <w:p w:rsidR="00F50070" w:rsidRPr="008E7A02" w:rsidRDefault="00F50070" w:rsidP="00B466C4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имущества,</w:t>
            </w:r>
          </w:p>
          <w:p w:rsidR="00F50070" w:rsidRPr="008E7A02" w:rsidRDefault="00F50070" w:rsidP="004229EF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находящегося в собственности муниципального образования Иркутской области, в том числе закрепленного за</w:t>
            </w:r>
          </w:p>
          <w:p w:rsidR="00F50070" w:rsidRPr="008E7A02" w:rsidRDefault="00F50070" w:rsidP="004229EF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муниципальными предприятиями</w:t>
            </w:r>
          </w:p>
          <w:p w:rsidR="00F50070" w:rsidRPr="008E7A02" w:rsidRDefault="00F50070" w:rsidP="004229EF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 учреждениями, да/нет</w:t>
            </w:r>
          </w:p>
        </w:tc>
        <w:tc>
          <w:tcPr>
            <w:tcW w:w="377" w:type="pct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8" w:type="pct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62" w:type="pct"/>
          </w:tcPr>
          <w:p w:rsidR="00F50070" w:rsidRPr="008E7A02" w:rsidRDefault="00F50070" w:rsidP="00B466C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Default="00F50070" w:rsidP="00B466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3.5.2.</w:t>
            </w:r>
          </w:p>
        </w:tc>
        <w:tc>
          <w:tcPr>
            <w:tcW w:w="1040" w:type="pct"/>
            <w:gridSpan w:val="2"/>
          </w:tcPr>
          <w:p w:rsidR="00F50070" w:rsidRPr="008E7A02" w:rsidRDefault="00F50070" w:rsidP="00B466C4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Проведение инвентаризации</w:t>
            </w:r>
          </w:p>
          <w:p w:rsidR="00F50070" w:rsidRPr="008E7A02" w:rsidRDefault="00F50070" w:rsidP="00B466C4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имущества, находящегося в</w:t>
            </w:r>
          </w:p>
          <w:p w:rsidR="00F50070" w:rsidRPr="008E7A02" w:rsidRDefault="00F50070" w:rsidP="00B466C4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собственности муниципального образования Иркутской области</w:t>
            </w:r>
          </w:p>
        </w:tc>
        <w:tc>
          <w:tcPr>
            <w:tcW w:w="476" w:type="pct"/>
            <w:gridSpan w:val="4"/>
          </w:tcPr>
          <w:p w:rsidR="00F50070" w:rsidRPr="008E7A02" w:rsidRDefault="00F50070" w:rsidP="00D54CE5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31.12.2023</w:t>
            </w:r>
          </w:p>
        </w:tc>
        <w:tc>
          <w:tcPr>
            <w:tcW w:w="799" w:type="pct"/>
          </w:tcPr>
          <w:p w:rsidR="00F50070" w:rsidRPr="008E7A02" w:rsidRDefault="00F50070" w:rsidP="00B466C4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 xml:space="preserve">Сформирован перечень имущества, находящегося в собственности </w:t>
            </w:r>
            <w:r w:rsidRPr="008E7A02">
              <w:rPr>
                <w:sz w:val="22"/>
                <w:szCs w:val="22"/>
              </w:rPr>
              <w:lastRenderedPageBreak/>
              <w:t>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области, да/нет</w:t>
            </w:r>
          </w:p>
        </w:tc>
        <w:tc>
          <w:tcPr>
            <w:tcW w:w="377" w:type="pct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8" w:type="pct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62" w:type="pct"/>
          </w:tcPr>
          <w:p w:rsidR="00F50070" w:rsidRPr="008E7A02" w:rsidRDefault="00F50070" w:rsidP="00E3731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  <w:r>
              <w:rPr>
                <w:sz w:val="22"/>
                <w:szCs w:val="22"/>
              </w:rPr>
              <w:lastRenderedPageBreak/>
              <w:t>администрации Тулунского муниципального района</w:t>
            </w:r>
          </w:p>
        </w:tc>
      </w:tr>
      <w:tr w:rsidR="00F50070" w:rsidRPr="008E7A02" w:rsidTr="00751BE0">
        <w:trPr>
          <w:trHeight w:val="20"/>
        </w:trPr>
        <w:tc>
          <w:tcPr>
            <w:tcW w:w="236" w:type="pct"/>
          </w:tcPr>
          <w:p w:rsidR="00F50070" w:rsidRDefault="00F50070" w:rsidP="00B466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3.5.3.</w:t>
            </w:r>
          </w:p>
        </w:tc>
        <w:tc>
          <w:tcPr>
            <w:tcW w:w="1040" w:type="pct"/>
            <w:gridSpan w:val="2"/>
          </w:tcPr>
          <w:p w:rsidR="00F50070" w:rsidRPr="008E7A02" w:rsidRDefault="00F50070" w:rsidP="00CB061C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Приватизация либо перепрофилирование (изменение целевого назначения имущества) имущества,</w:t>
            </w:r>
          </w:p>
          <w:p w:rsidR="00F50070" w:rsidRPr="008E7A02" w:rsidRDefault="00F50070" w:rsidP="00CB061C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</w:t>
            </w:r>
          </w:p>
        </w:tc>
        <w:tc>
          <w:tcPr>
            <w:tcW w:w="476" w:type="pct"/>
            <w:gridSpan w:val="4"/>
          </w:tcPr>
          <w:p w:rsidR="00F50070" w:rsidRPr="008E7A02" w:rsidRDefault="00F50070" w:rsidP="00CB061C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31.12.2025</w:t>
            </w:r>
          </w:p>
        </w:tc>
        <w:tc>
          <w:tcPr>
            <w:tcW w:w="799" w:type="pct"/>
          </w:tcPr>
          <w:p w:rsidR="00F50070" w:rsidRPr="008E7A02" w:rsidRDefault="00F50070" w:rsidP="00CB061C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Обеспечена</w:t>
            </w:r>
          </w:p>
          <w:p w:rsidR="00F50070" w:rsidRPr="008E7A02" w:rsidRDefault="00F50070" w:rsidP="00CB061C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приватизация либо перепрофилирование (изменение целевого назначения имущества)</w:t>
            </w:r>
          </w:p>
          <w:p w:rsidR="00F50070" w:rsidRPr="008E7A02" w:rsidRDefault="00F50070" w:rsidP="00CB061C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имущества,</w:t>
            </w:r>
          </w:p>
          <w:p w:rsidR="00F50070" w:rsidRPr="008E7A02" w:rsidRDefault="00F50070" w:rsidP="00CB061C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 xml:space="preserve">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</w:t>
            </w:r>
            <w:r w:rsidRPr="008E7A02">
              <w:rPr>
                <w:sz w:val="22"/>
                <w:szCs w:val="22"/>
              </w:rPr>
              <w:lastRenderedPageBreak/>
              <w:t>местного самоуправления муниципальных образований Иркутской области,</w:t>
            </w:r>
            <w:r>
              <w:rPr>
                <w:sz w:val="22"/>
                <w:szCs w:val="22"/>
              </w:rPr>
              <w:t xml:space="preserve"> </w:t>
            </w:r>
            <w:r w:rsidRPr="008E7A02">
              <w:rPr>
                <w:sz w:val="22"/>
                <w:szCs w:val="22"/>
              </w:rPr>
              <w:t>да/нет</w:t>
            </w:r>
          </w:p>
        </w:tc>
        <w:tc>
          <w:tcPr>
            <w:tcW w:w="377" w:type="pct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8" w:type="pct"/>
          </w:tcPr>
          <w:p w:rsidR="00F50070" w:rsidRPr="008E7A02" w:rsidRDefault="00F50070" w:rsidP="00B466C4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62" w:type="pct"/>
          </w:tcPr>
          <w:p w:rsidR="00F50070" w:rsidRPr="008E7A02" w:rsidRDefault="00F50070" w:rsidP="00E3731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</w:tr>
      <w:tr w:rsidR="00F50070" w:rsidRPr="008E7A02" w:rsidTr="002504A2">
        <w:trPr>
          <w:trHeight w:val="20"/>
        </w:trPr>
        <w:tc>
          <w:tcPr>
            <w:tcW w:w="236" w:type="pct"/>
          </w:tcPr>
          <w:p w:rsidR="00F50070" w:rsidRPr="007A09A1" w:rsidRDefault="00F50070" w:rsidP="00A75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9A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3.6.</w:t>
            </w:r>
          </w:p>
        </w:tc>
        <w:tc>
          <w:tcPr>
            <w:tcW w:w="1229" w:type="pct"/>
            <w:gridSpan w:val="4"/>
          </w:tcPr>
          <w:p w:rsidR="00F50070" w:rsidRPr="008E7A02" w:rsidRDefault="00F50070" w:rsidP="00A7549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535" w:type="pct"/>
            <w:gridSpan w:val="14"/>
          </w:tcPr>
          <w:p w:rsidR="00F50070" w:rsidRPr="008E7A02" w:rsidRDefault="00F50070" w:rsidP="00A7549C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Размещение сведений о кладбищах и местах захоронений на них в региональной государственной информационной системе «Региональный портал государственных и муниципальных услуг Иркутской области»</w:t>
            </w:r>
            <w:r w:rsidRPr="008E7A02">
              <w:rPr>
                <w:rStyle w:val="aff5"/>
                <w:b/>
                <w:sz w:val="22"/>
                <w:szCs w:val="22"/>
              </w:rPr>
              <w:footnoteReference w:id="4"/>
            </w:r>
          </w:p>
        </w:tc>
      </w:tr>
      <w:tr w:rsidR="00F50070" w:rsidRPr="008E7A02" w:rsidTr="002504A2">
        <w:trPr>
          <w:trHeight w:val="20"/>
        </w:trPr>
        <w:tc>
          <w:tcPr>
            <w:tcW w:w="236" w:type="pct"/>
          </w:tcPr>
          <w:p w:rsidR="00F50070" w:rsidRDefault="00F50070" w:rsidP="00A75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3.6.1.</w:t>
            </w:r>
          </w:p>
        </w:tc>
        <w:tc>
          <w:tcPr>
            <w:tcW w:w="1040" w:type="pct"/>
            <w:gridSpan w:val="2"/>
          </w:tcPr>
          <w:p w:rsidR="00F50070" w:rsidRPr="008E7A02" w:rsidRDefault="00F50070" w:rsidP="00A7549C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Проведение инвентаризации кладбищ и мест захоронений на них</w:t>
            </w:r>
          </w:p>
        </w:tc>
        <w:tc>
          <w:tcPr>
            <w:tcW w:w="476" w:type="pct"/>
            <w:gridSpan w:val="4"/>
          </w:tcPr>
          <w:p w:rsidR="00F50070" w:rsidRPr="008E7A02" w:rsidRDefault="00F50070" w:rsidP="00A7549C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Ежегодно</w:t>
            </w:r>
          </w:p>
        </w:tc>
        <w:tc>
          <w:tcPr>
            <w:tcW w:w="799" w:type="pct"/>
          </w:tcPr>
          <w:p w:rsidR="00F50070" w:rsidRPr="008E7A02" w:rsidRDefault="00F50070" w:rsidP="00A7549C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Сформирован реестр кладбищ и мест захоронений на них, да/нет</w:t>
            </w:r>
          </w:p>
        </w:tc>
        <w:tc>
          <w:tcPr>
            <w:tcW w:w="377" w:type="pct"/>
          </w:tcPr>
          <w:p w:rsidR="00F50070" w:rsidRPr="008E7A02" w:rsidRDefault="00F50070" w:rsidP="00A7549C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A7549C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  <w:gridSpan w:val="3"/>
          </w:tcPr>
          <w:p w:rsidR="00F50070" w:rsidRPr="008E7A02" w:rsidRDefault="00F50070" w:rsidP="00A7549C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8" w:type="pct"/>
            <w:gridSpan w:val="2"/>
          </w:tcPr>
          <w:p w:rsidR="00F50070" w:rsidRPr="008E7A02" w:rsidRDefault="00F50070" w:rsidP="00A7549C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7" w:type="pct"/>
          </w:tcPr>
          <w:p w:rsidR="00F50070" w:rsidRPr="008E7A02" w:rsidRDefault="00F50070" w:rsidP="00A7549C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64" w:type="pct"/>
          </w:tcPr>
          <w:p w:rsidR="00F50070" w:rsidRPr="008E7A02" w:rsidRDefault="00F50070" w:rsidP="00A7549C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 Тулунского муниципального района</w:t>
            </w:r>
          </w:p>
        </w:tc>
      </w:tr>
    </w:tbl>
    <w:p w:rsidR="00F50070" w:rsidRDefault="00F50070" w:rsidP="004B43E3">
      <w:pPr>
        <w:rPr>
          <w:sz w:val="22"/>
          <w:szCs w:val="22"/>
        </w:rPr>
      </w:pPr>
    </w:p>
    <w:p w:rsidR="00F50070" w:rsidRDefault="00F50070" w:rsidP="004B43E3">
      <w:pPr>
        <w:rPr>
          <w:sz w:val="22"/>
          <w:szCs w:val="22"/>
        </w:rPr>
      </w:pPr>
    </w:p>
    <w:p w:rsidR="00F50070" w:rsidRDefault="00F50070" w:rsidP="004B43E3">
      <w:pPr>
        <w:rPr>
          <w:sz w:val="22"/>
          <w:szCs w:val="22"/>
        </w:rPr>
      </w:pPr>
    </w:p>
    <w:p w:rsidR="00F50070" w:rsidRDefault="00F50070" w:rsidP="004B43E3">
      <w:pPr>
        <w:rPr>
          <w:sz w:val="22"/>
          <w:szCs w:val="22"/>
        </w:rPr>
      </w:pPr>
    </w:p>
    <w:p w:rsidR="00F50070" w:rsidRPr="005F7A02" w:rsidRDefault="00F50070" w:rsidP="004B43E3">
      <w:pPr>
        <w:rPr>
          <w:sz w:val="28"/>
          <w:szCs w:val="28"/>
        </w:rPr>
      </w:pPr>
      <w:r>
        <w:rPr>
          <w:sz w:val="28"/>
          <w:szCs w:val="28"/>
        </w:rPr>
        <w:t>Мэр Тулунского муници</w:t>
      </w:r>
      <w:r w:rsidRPr="005F7A02">
        <w:rPr>
          <w:sz w:val="28"/>
          <w:szCs w:val="28"/>
        </w:rPr>
        <w:t xml:space="preserve">пального района                                                                                                    </w:t>
      </w:r>
      <w:r w:rsidR="00294F35">
        <w:rPr>
          <w:sz w:val="28"/>
          <w:szCs w:val="28"/>
        </w:rPr>
        <w:t xml:space="preserve">         </w:t>
      </w:r>
      <w:bookmarkStart w:id="0" w:name="_GoBack"/>
      <w:bookmarkEnd w:id="0"/>
      <w:r w:rsidRPr="005F7A02">
        <w:rPr>
          <w:sz w:val="28"/>
          <w:szCs w:val="28"/>
        </w:rPr>
        <w:t xml:space="preserve">   А.Ю.</w:t>
      </w:r>
      <w:r w:rsidR="00294F35">
        <w:rPr>
          <w:sz w:val="28"/>
          <w:szCs w:val="28"/>
        </w:rPr>
        <w:t xml:space="preserve"> </w:t>
      </w:r>
      <w:r w:rsidRPr="005F7A02">
        <w:rPr>
          <w:sz w:val="28"/>
          <w:szCs w:val="28"/>
        </w:rPr>
        <w:t>Тюков</w:t>
      </w:r>
    </w:p>
    <w:sectPr w:rsidR="00F50070" w:rsidRPr="005F7A02" w:rsidSect="00847632">
      <w:headerReference w:type="default" r:id="rId7"/>
      <w:headerReference w:type="first" r:id="rId8"/>
      <w:pgSz w:w="16838" w:h="11906" w:orient="landscape" w:code="9"/>
      <w:pgMar w:top="1418" w:right="1134" w:bottom="851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70" w:rsidRDefault="00F50070">
      <w:r>
        <w:separator/>
      </w:r>
    </w:p>
  </w:endnote>
  <w:endnote w:type="continuationSeparator" w:id="0">
    <w:p w:rsidR="00F50070" w:rsidRDefault="00F5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70" w:rsidRDefault="00F50070">
      <w:r>
        <w:separator/>
      </w:r>
    </w:p>
  </w:footnote>
  <w:footnote w:type="continuationSeparator" w:id="0">
    <w:p w:rsidR="00F50070" w:rsidRDefault="00F50070">
      <w:r>
        <w:continuationSeparator/>
      </w:r>
    </w:p>
  </w:footnote>
  <w:footnote w:id="1">
    <w:p w:rsidR="00F50070" w:rsidRDefault="00F50070" w:rsidP="00345A2F">
      <w:pPr>
        <w:pStyle w:val="aff3"/>
        <w:jc w:val="both"/>
      </w:pPr>
    </w:p>
  </w:footnote>
  <w:footnote w:id="2">
    <w:p w:rsidR="00F50070" w:rsidRDefault="00F50070" w:rsidP="00345A2F">
      <w:pPr>
        <w:pStyle w:val="aff3"/>
        <w:jc w:val="both"/>
      </w:pPr>
    </w:p>
  </w:footnote>
  <w:footnote w:id="3">
    <w:p w:rsidR="00F50070" w:rsidRDefault="00F50070" w:rsidP="00345A2F">
      <w:pPr>
        <w:pStyle w:val="aff3"/>
        <w:jc w:val="both"/>
      </w:pPr>
      <w:r>
        <w:rPr>
          <w:rStyle w:val="aff5"/>
        </w:rPr>
        <w:t xml:space="preserve"> </w:t>
      </w:r>
    </w:p>
  </w:footnote>
  <w:footnote w:id="4">
    <w:p w:rsidR="00F50070" w:rsidRDefault="00F50070" w:rsidP="002504A2">
      <w:pPr>
        <w:pStyle w:val="aff3"/>
        <w:jc w:val="both"/>
      </w:pPr>
      <w:r>
        <w:rPr>
          <w:rStyle w:val="aff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70" w:rsidRPr="0029037D" w:rsidRDefault="00F50070">
    <w:pPr>
      <w:pStyle w:val="a4"/>
      <w:jc w:val="center"/>
      <w:rPr>
        <w:sz w:val="24"/>
        <w:szCs w:val="24"/>
      </w:rPr>
    </w:pPr>
    <w:r w:rsidRPr="0029037D">
      <w:rPr>
        <w:sz w:val="24"/>
        <w:szCs w:val="24"/>
      </w:rPr>
      <w:fldChar w:fldCharType="begin"/>
    </w:r>
    <w:r w:rsidRPr="0029037D">
      <w:rPr>
        <w:sz w:val="24"/>
        <w:szCs w:val="24"/>
      </w:rPr>
      <w:instrText>PAGE   \* MERGEFORMAT</w:instrText>
    </w:r>
    <w:r w:rsidRPr="0029037D">
      <w:rPr>
        <w:sz w:val="24"/>
        <w:szCs w:val="24"/>
      </w:rPr>
      <w:fldChar w:fldCharType="separate"/>
    </w:r>
    <w:r w:rsidR="00294F35">
      <w:rPr>
        <w:noProof/>
        <w:sz w:val="24"/>
        <w:szCs w:val="24"/>
      </w:rPr>
      <w:t>10</w:t>
    </w:r>
    <w:r w:rsidRPr="0029037D">
      <w:rPr>
        <w:sz w:val="24"/>
        <w:szCs w:val="24"/>
      </w:rPr>
      <w:fldChar w:fldCharType="end"/>
    </w:r>
  </w:p>
  <w:p w:rsidR="00F50070" w:rsidRPr="0029037D" w:rsidRDefault="00F50070">
    <w:pPr>
      <w:pStyle w:val="a4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70" w:rsidRPr="006C6580" w:rsidRDefault="00F50070" w:rsidP="00DD7A4D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F36158"/>
    <w:multiLevelType w:val="hybridMultilevel"/>
    <w:tmpl w:val="0A523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5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6A0FB6"/>
    <w:multiLevelType w:val="hybridMultilevel"/>
    <w:tmpl w:val="E836126E"/>
    <w:lvl w:ilvl="0" w:tplc="2DF8CA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9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5"/>
  </w:num>
  <w:num w:numId="14">
    <w:abstractNumId w:val="11"/>
  </w:num>
  <w:num w:numId="15">
    <w:abstractNumId w:val="19"/>
  </w:num>
  <w:num w:numId="16">
    <w:abstractNumId w:val="20"/>
  </w:num>
  <w:num w:numId="17">
    <w:abstractNumId w:val="4"/>
  </w:num>
  <w:num w:numId="18">
    <w:abstractNumId w:val="16"/>
  </w:num>
  <w:num w:numId="19">
    <w:abstractNumId w:val="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351"/>
    <w:rsid w:val="00000B8E"/>
    <w:rsid w:val="000035B5"/>
    <w:rsid w:val="000053BD"/>
    <w:rsid w:val="00005761"/>
    <w:rsid w:val="00006ED1"/>
    <w:rsid w:val="0000718A"/>
    <w:rsid w:val="00007774"/>
    <w:rsid w:val="000106C2"/>
    <w:rsid w:val="00016507"/>
    <w:rsid w:val="00016E43"/>
    <w:rsid w:val="00020131"/>
    <w:rsid w:val="00020487"/>
    <w:rsid w:val="00020DDC"/>
    <w:rsid w:val="000235F5"/>
    <w:rsid w:val="00027818"/>
    <w:rsid w:val="000307CD"/>
    <w:rsid w:val="0003279F"/>
    <w:rsid w:val="000331BF"/>
    <w:rsid w:val="000332CB"/>
    <w:rsid w:val="00033808"/>
    <w:rsid w:val="0003465C"/>
    <w:rsid w:val="0003794E"/>
    <w:rsid w:val="0004082B"/>
    <w:rsid w:val="00040F85"/>
    <w:rsid w:val="00042DC2"/>
    <w:rsid w:val="00043297"/>
    <w:rsid w:val="00043875"/>
    <w:rsid w:val="00043C40"/>
    <w:rsid w:val="00045BFC"/>
    <w:rsid w:val="0004609E"/>
    <w:rsid w:val="000465C9"/>
    <w:rsid w:val="00047C8E"/>
    <w:rsid w:val="00053F0F"/>
    <w:rsid w:val="0005488E"/>
    <w:rsid w:val="000658F0"/>
    <w:rsid w:val="00065AED"/>
    <w:rsid w:val="00067050"/>
    <w:rsid w:val="0006727B"/>
    <w:rsid w:val="0006778F"/>
    <w:rsid w:val="000704E7"/>
    <w:rsid w:val="00071563"/>
    <w:rsid w:val="00074F83"/>
    <w:rsid w:val="0008075C"/>
    <w:rsid w:val="00082F25"/>
    <w:rsid w:val="00084A10"/>
    <w:rsid w:val="0008732C"/>
    <w:rsid w:val="0008744E"/>
    <w:rsid w:val="000918C0"/>
    <w:rsid w:val="00091DB5"/>
    <w:rsid w:val="00095175"/>
    <w:rsid w:val="000970F1"/>
    <w:rsid w:val="00097492"/>
    <w:rsid w:val="000A0F9C"/>
    <w:rsid w:val="000A1B18"/>
    <w:rsid w:val="000A1D24"/>
    <w:rsid w:val="000A28D3"/>
    <w:rsid w:val="000A36A1"/>
    <w:rsid w:val="000A588C"/>
    <w:rsid w:val="000A6BE5"/>
    <w:rsid w:val="000A7DA1"/>
    <w:rsid w:val="000B03BF"/>
    <w:rsid w:val="000B21AC"/>
    <w:rsid w:val="000B37A6"/>
    <w:rsid w:val="000B5DC1"/>
    <w:rsid w:val="000C1D05"/>
    <w:rsid w:val="000C5307"/>
    <w:rsid w:val="000C7C40"/>
    <w:rsid w:val="000D326B"/>
    <w:rsid w:val="000D3EDE"/>
    <w:rsid w:val="000D4843"/>
    <w:rsid w:val="000D6552"/>
    <w:rsid w:val="000D67C7"/>
    <w:rsid w:val="000E0819"/>
    <w:rsid w:val="000E573C"/>
    <w:rsid w:val="000F018A"/>
    <w:rsid w:val="000F1904"/>
    <w:rsid w:val="000F43D5"/>
    <w:rsid w:val="000F5087"/>
    <w:rsid w:val="000F5242"/>
    <w:rsid w:val="000F5898"/>
    <w:rsid w:val="000F64DF"/>
    <w:rsid w:val="000F65B5"/>
    <w:rsid w:val="0010027B"/>
    <w:rsid w:val="00101188"/>
    <w:rsid w:val="00101E94"/>
    <w:rsid w:val="00102548"/>
    <w:rsid w:val="0010324C"/>
    <w:rsid w:val="00103EBD"/>
    <w:rsid w:val="00104027"/>
    <w:rsid w:val="00105624"/>
    <w:rsid w:val="00105FD8"/>
    <w:rsid w:val="00110FE5"/>
    <w:rsid w:val="00113632"/>
    <w:rsid w:val="001206C5"/>
    <w:rsid w:val="0012118D"/>
    <w:rsid w:val="001216AB"/>
    <w:rsid w:val="001221E9"/>
    <w:rsid w:val="00122AB2"/>
    <w:rsid w:val="00124F0D"/>
    <w:rsid w:val="00126F60"/>
    <w:rsid w:val="00133796"/>
    <w:rsid w:val="00134C5C"/>
    <w:rsid w:val="00136D19"/>
    <w:rsid w:val="001378CF"/>
    <w:rsid w:val="001408EA"/>
    <w:rsid w:val="001418E8"/>
    <w:rsid w:val="00142DD2"/>
    <w:rsid w:val="00143F38"/>
    <w:rsid w:val="00144F73"/>
    <w:rsid w:val="00146B62"/>
    <w:rsid w:val="00153125"/>
    <w:rsid w:val="00153D06"/>
    <w:rsid w:val="00154C09"/>
    <w:rsid w:val="001560EC"/>
    <w:rsid w:val="001564FB"/>
    <w:rsid w:val="00157C44"/>
    <w:rsid w:val="00160733"/>
    <w:rsid w:val="001629BA"/>
    <w:rsid w:val="00163077"/>
    <w:rsid w:val="00164D3A"/>
    <w:rsid w:val="00165382"/>
    <w:rsid w:val="001673C8"/>
    <w:rsid w:val="001677BE"/>
    <w:rsid w:val="00170F84"/>
    <w:rsid w:val="00171412"/>
    <w:rsid w:val="00171C93"/>
    <w:rsid w:val="00172D43"/>
    <w:rsid w:val="001730CE"/>
    <w:rsid w:val="0017376F"/>
    <w:rsid w:val="00174091"/>
    <w:rsid w:val="00177503"/>
    <w:rsid w:val="0018046E"/>
    <w:rsid w:val="001837A9"/>
    <w:rsid w:val="00184856"/>
    <w:rsid w:val="0019067C"/>
    <w:rsid w:val="00190E1F"/>
    <w:rsid w:val="001931C8"/>
    <w:rsid w:val="00195A85"/>
    <w:rsid w:val="0019642C"/>
    <w:rsid w:val="00197225"/>
    <w:rsid w:val="001A34C0"/>
    <w:rsid w:val="001A4670"/>
    <w:rsid w:val="001B0108"/>
    <w:rsid w:val="001B10A6"/>
    <w:rsid w:val="001B1D0B"/>
    <w:rsid w:val="001B37F3"/>
    <w:rsid w:val="001B3C25"/>
    <w:rsid w:val="001B5350"/>
    <w:rsid w:val="001B5F91"/>
    <w:rsid w:val="001B69A3"/>
    <w:rsid w:val="001B7947"/>
    <w:rsid w:val="001C17A7"/>
    <w:rsid w:val="001C236B"/>
    <w:rsid w:val="001C246A"/>
    <w:rsid w:val="001C26AE"/>
    <w:rsid w:val="001C31B8"/>
    <w:rsid w:val="001C38DA"/>
    <w:rsid w:val="001C7CEB"/>
    <w:rsid w:val="001D1CD4"/>
    <w:rsid w:val="001D3756"/>
    <w:rsid w:val="001D4A18"/>
    <w:rsid w:val="001E0252"/>
    <w:rsid w:val="001E38D6"/>
    <w:rsid w:val="001E51E0"/>
    <w:rsid w:val="001E540F"/>
    <w:rsid w:val="001E5FA6"/>
    <w:rsid w:val="001E6EC5"/>
    <w:rsid w:val="001F11B9"/>
    <w:rsid w:val="001F1B61"/>
    <w:rsid w:val="001F2C79"/>
    <w:rsid w:val="001F478D"/>
    <w:rsid w:val="001F5654"/>
    <w:rsid w:val="001F5710"/>
    <w:rsid w:val="001F624E"/>
    <w:rsid w:val="00202060"/>
    <w:rsid w:val="0020595F"/>
    <w:rsid w:val="002071E8"/>
    <w:rsid w:val="00207EFD"/>
    <w:rsid w:val="00213241"/>
    <w:rsid w:val="00215D35"/>
    <w:rsid w:val="0021676B"/>
    <w:rsid w:val="0021736E"/>
    <w:rsid w:val="00220AAB"/>
    <w:rsid w:val="002218AB"/>
    <w:rsid w:val="00223212"/>
    <w:rsid w:val="002239EE"/>
    <w:rsid w:val="00230331"/>
    <w:rsid w:val="00230A8F"/>
    <w:rsid w:val="00231370"/>
    <w:rsid w:val="00232490"/>
    <w:rsid w:val="00235378"/>
    <w:rsid w:val="00236B8E"/>
    <w:rsid w:val="002401C9"/>
    <w:rsid w:val="0024155D"/>
    <w:rsid w:val="00245EA5"/>
    <w:rsid w:val="00247EEE"/>
    <w:rsid w:val="002504A2"/>
    <w:rsid w:val="00253000"/>
    <w:rsid w:val="00253014"/>
    <w:rsid w:val="002565C9"/>
    <w:rsid w:val="00260311"/>
    <w:rsid w:val="00260B94"/>
    <w:rsid w:val="00260E0A"/>
    <w:rsid w:val="00262C7D"/>
    <w:rsid w:val="00273B00"/>
    <w:rsid w:val="00273DD4"/>
    <w:rsid w:val="002773B3"/>
    <w:rsid w:val="00280945"/>
    <w:rsid w:val="0028177E"/>
    <w:rsid w:val="00282AF4"/>
    <w:rsid w:val="00283ADB"/>
    <w:rsid w:val="00285D79"/>
    <w:rsid w:val="00286490"/>
    <w:rsid w:val="0028668D"/>
    <w:rsid w:val="00286FD4"/>
    <w:rsid w:val="0029037D"/>
    <w:rsid w:val="00291D8C"/>
    <w:rsid w:val="002926B0"/>
    <w:rsid w:val="00294F35"/>
    <w:rsid w:val="00295C68"/>
    <w:rsid w:val="00296709"/>
    <w:rsid w:val="002A16E6"/>
    <w:rsid w:val="002A3A4A"/>
    <w:rsid w:val="002A69BA"/>
    <w:rsid w:val="002A7A8D"/>
    <w:rsid w:val="002B0903"/>
    <w:rsid w:val="002B0E20"/>
    <w:rsid w:val="002B7436"/>
    <w:rsid w:val="002C0440"/>
    <w:rsid w:val="002C5295"/>
    <w:rsid w:val="002C769E"/>
    <w:rsid w:val="002D1817"/>
    <w:rsid w:val="002D1A85"/>
    <w:rsid w:val="002D2330"/>
    <w:rsid w:val="002D349B"/>
    <w:rsid w:val="002D383E"/>
    <w:rsid w:val="002D5467"/>
    <w:rsid w:val="002D6B1C"/>
    <w:rsid w:val="002D7D71"/>
    <w:rsid w:val="002E3EDC"/>
    <w:rsid w:val="002E4A26"/>
    <w:rsid w:val="002E5B4A"/>
    <w:rsid w:val="002F18DE"/>
    <w:rsid w:val="002F225E"/>
    <w:rsid w:val="002F259C"/>
    <w:rsid w:val="002F4826"/>
    <w:rsid w:val="002F4D4B"/>
    <w:rsid w:val="002F5451"/>
    <w:rsid w:val="002F699B"/>
    <w:rsid w:val="002F7F1A"/>
    <w:rsid w:val="002F7FED"/>
    <w:rsid w:val="00300351"/>
    <w:rsid w:val="00302064"/>
    <w:rsid w:val="003024FA"/>
    <w:rsid w:val="00304DB2"/>
    <w:rsid w:val="00305372"/>
    <w:rsid w:val="00306A83"/>
    <w:rsid w:val="00312AE0"/>
    <w:rsid w:val="00315FFA"/>
    <w:rsid w:val="00316FBF"/>
    <w:rsid w:val="00323165"/>
    <w:rsid w:val="00332D71"/>
    <w:rsid w:val="00334BBC"/>
    <w:rsid w:val="00335564"/>
    <w:rsid w:val="00335FE2"/>
    <w:rsid w:val="00336761"/>
    <w:rsid w:val="00337959"/>
    <w:rsid w:val="003379F5"/>
    <w:rsid w:val="00337C9E"/>
    <w:rsid w:val="00341205"/>
    <w:rsid w:val="003414A8"/>
    <w:rsid w:val="00341A1A"/>
    <w:rsid w:val="0034298B"/>
    <w:rsid w:val="00342DCE"/>
    <w:rsid w:val="0034465D"/>
    <w:rsid w:val="003451B7"/>
    <w:rsid w:val="00345A2F"/>
    <w:rsid w:val="00345F01"/>
    <w:rsid w:val="0035051F"/>
    <w:rsid w:val="00350AF2"/>
    <w:rsid w:val="0035444E"/>
    <w:rsid w:val="00355D8B"/>
    <w:rsid w:val="00356A16"/>
    <w:rsid w:val="003639A9"/>
    <w:rsid w:val="00363A5E"/>
    <w:rsid w:val="003660D2"/>
    <w:rsid w:val="003673DC"/>
    <w:rsid w:val="00367425"/>
    <w:rsid w:val="00371ACA"/>
    <w:rsid w:val="00371D4F"/>
    <w:rsid w:val="00374DBA"/>
    <w:rsid w:val="00380BC7"/>
    <w:rsid w:val="003914A0"/>
    <w:rsid w:val="0039353D"/>
    <w:rsid w:val="003A364C"/>
    <w:rsid w:val="003A5A24"/>
    <w:rsid w:val="003B0921"/>
    <w:rsid w:val="003B2B40"/>
    <w:rsid w:val="003B47BF"/>
    <w:rsid w:val="003B6D21"/>
    <w:rsid w:val="003B7394"/>
    <w:rsid w:val="003C02B5"/>
    <w:rsid w:val="003C3BAE"/>
    <w:rsid w:val="003C4AE4"/>
    <w:rsid w:val="003C60EE"/>
    <w:rsid w:val="003D14FB"/>
    <w:rsid w:val="003D2537"/>
    <w:rsid w:val="003D4758"/>
    <w:rsid w:val="003D60AF"/>
    <w:rsid w:val="003D685A"/>
    <w:rsid w:val="003D6B24"/>
    <w:rsid w:val="003D6B67"/>
    <w:rsid w:val="003D749F"/>
    <w:rsid w:val="003E14C2"/>
    <w:rsid w:val="003E197C"/>
    <w:rsid w:val="003E5201"/>
    <w:rsid w:val="003E52FF"/>
    <w:rsid w:val="004048A1"/>
    <w:rsid w:val="00405BA6"/>
    <w:rsid w:val="00413504"/>
    <w:rsid w:val="00413AAD"/>
    <w:rsid w:val="00414262"/>
    <w:rsid w:val="00420924"/>
    <w:rsid w:val="004229EF"/>
    <w:rsid w:val="00423EB9"/>
    <w:rsid w:val="0043036E"/>
    <w:rsid w:val="00430794"/>
    <w:rsid w:val="0043783C"/>
    <w:rsid w:val="004414A6"/>
    <w:rsid w:val="00442DB5"/>
    <w:rsid w:val="00450272"/>
    <w:rsid w:val="004522F2"/>
    <w:rsid w:val="004523DB"/>
    <w:rsid w:val="00453069"/>
    <w:rsid w:val="00453F99"/>
    <w:rsid w:val="00454C3E"/>
    <w:rsid w:val="00455D88"/>
    <w:rsid w:val="00456227"/>
    <w:rsid w:val="0045763C"/>
    <w:rsid w:val="0046288F"/>
    <w:rsid w:val="00462966"/>
    <w:rsid w:val="00464982"/>
    <w:rsid w:val="00465BAA"/>
    <w:rsid w:val="00467BC6"/>
    <w:rsid w:val="00470A89"/>
    <w:rsid w:val="00472F3A"/>
    <w:rsid w:val="004731A3"/>
    <w:rsid w:val="004747A8"/>
    <w:rsid w:val="00476590"/>
    <w:rsid w:val="004823C7"/>
    <w:rsid w:val="0048622F"/>
    <w:rsid w:val="004870F3"/>
    <w:rsid w:val="00487186"/>
    <w:rsid w:val="00494265"/>
    <w:rsid w:val="004A0901"/>
    <w:rsid w:val="004A1620"/>
    <w:rsid w:val="004A16C7"/>
    <w:rsid w:val="004A3A5F"/>
    <w:rsid w:val="004A48FB"/>
    <w:rsid w:val="004A5B43"/>
    <w:rsid w:val="004B02D0"/>
    <w:rsid w:val="004B07FB"/>
    <w:rsid w:val="004B35AE"/>
    <w:rsid w:val="004B43E3"/>
    <w:rsid w:val="004B4E0F"/>
    <w:rsid w:val="004B6F79"/>
    <w:rsid w:val="004B7EBA"/>
    <w:rsid w:val="004C32C2"/>
    <w:rsid w:val="004D0951"/>
    <w:rsid w:val="004D103F"/>
    <w:rsid w:val="004D6176"/>
    <w:rsid w:val="004D7084"/>
    <w:rsid w:val="004D7FB6"/>
    <w:rsid w:val="004E5904"/>
    <w:rsid w:val="004E70F5"/>
    <w:rsid w:val="004E7E6D"/>
    <w:rsid w:val="004F47F7"/>
    <w:rsid w:val="004F47F9"/>
    <w:rsid w:val="004F714A"/>
    <w:rsid w:val="004F7666"/>
    <w:rsid w:val="0050136D"/>
    <w:rsid w:val="00503BF8"/>
    <w:rsid w:val="00505E56"/>
    <w:rsid w:val="0050656D"/>
    <w:rsid w:val="00512A26"/>
    <w:rsid w:val="005146A6"/>
    <w:rsid w:val="00516FD1"/>
    <w:rsid w:val="00522269"/>
    <w:rsid w:val="005222A9"/>
    <w:rsid w:val="0052297B"/>
    <w:rsid w:val="0052619E"/>
    <w:rsid w:val="00533DFE"/>
    <w:rsid w:val="00534794"/>
    <w:rsid w:val="00535384"/>
    <w:rsid w:val="00537228"/>
    <w:rsid w:val="005412E8"/>
    <w:rsid w:val="0054226C"/>
    <w:rsid w:val="0054270F"/>
    <w:rsid w:val="00543767"/>
    <w:rsid w:val="005448EF"/>
    <w:rsid w:val="005457E0"/>
    <w:rsid w:val="00546135"/>
    <w:rsid w:val="00551F89"/>
    <w:rsid w:val="00552AB0"/>
    <w:rsid w:val="005662D1"/>
    <w:rsid w:val="00572905"/>
    <w:rsid w:val="00575813"/>
    <w:rsid w:val="0057712E"/>
    <w:rsid w:val="0058059E"/>
    <w:rsid w:val="00580C04"/>
    <w:rsid w:val="00581754"/>
    <w:rsid w:val="00583594"/>
    <w:rsid w:val="005842AA"/>
    <w:rsid w:val="00593806"/>
    <w:rsid w:val="0059534F"/>
    <w:rsid w:val="00596AD8"/>
    <w:rsid w:val="005A10E0"/>
    <w:rsid w:val="005A12B8"/>
    <w:rsid w:val="005A30CC"/>
    <w:rsid w:val="005A6A8F"/>
    <w:rsid w:val="005B00BB"/>
    <w:rsid w:val="005B134D"/>
    <w:rsid w:val="005B221E"/>
    <w:rsid w:val="005B415E"/>
    <w:rsid w:val="005C0967"/>
    <w:rsid w:val="005C30B1"/>
    <w:rsid w:val="005C321E"/>
    <w:rsid w:val="005C4ABC"/>
    <w:rsid w:val="005C4E1A"/>
    <w:rsid w:val="005C61B6"/>
    <w:rsid w:val="005C6929"/>
    <w:rsid w:val="005C6B1B"/>
    <w:rsid w:val="005C6C8D"/>
    <w:rsid w:val="005D7FE1"/>
    <w:rsid w:val="005E1707"/>
    <w:rsid w:val="005E20BB"/>
    <w:rsid w:val="005E3203"/>
    <w:rsid w:val="005E3AA1"/>
    <w:rsid w:val="005E472D"/>
    <w:rsid w:val="005E5832"/>
    <w:rsid w:val="005E5D78"/>
    <w:rsid w:val="005E68B3"/>
    <w:rsid w:val="005E6A24"/>
    <w:rsid w:val="005E7786"/>
    <w:rsid w:val="005F208B"/>
    <w:rsid w:val="005F4460"/>
    <w:rsid w:val="005F4FF8"/>
    <w:rsid w:val="005F7A02"/>
    <w:rsid w:val="00602CD3"/>
    <w:rsid w:val="00603987"/>
    <w:rsid w:val="00603A16"/>
    <w:rsid w:val="0060415B"/>
    <w:rsid w:val="00604869"/>
    <w:rsid w:val="00604FC3"/>
    <w:rsid w:val="0061260A"/>
    <w:rsid w:val="006139C7"/>
    <w:rsid w:val="00613E56"/>
    <w:rsid w:val="006179C5"/>
    <w:rsid w:val="00617DFB"/>
    <w:rsid w:val="006221DD"/>
    <w:rsid w:val="0062346C"/>
    <w:rsid w:val="00630209"/>
    <w:rsid w:val="00630903"/>
    <w:rsid w:val="00630E1C"/>
    <w:rsid w:val="00631FD4"/>
    <w:rsid w:val="006326A8"/>
    <w:rsid w:val="00633B03"/>
    <w:rsid w:val="006423D3"/>
    <w:rsid w:val="006429CB"/>
    <w:rsid w:val="00643DC5"/>
    <w:rsid w:val="00643F71"/>
    <w:rsid w:val="00656DE3"/>
    <w:rsid w:val="00657EC1"/>
    <w:rsid w:val="00670252"/>
    <w:rsid w:val="00673265"/>
    <w:rsid w:val="006741F4"/>
    <w:rsid w:val="00674A84"/>
    <w:rsid w:val="00681ACF"/>
    <w:rsid w:val="00681BEE"/>
    <w:rsid w:val="00682E44"/>
    <w:rsid w:val="00684BB0"/>
    <w:rsid w:val="00684E3D"/>
    <w:rsid w:val="00685CE4"/>
    <w:rsid w:val="0069223B"/>
    <w:rsid w:val="00695405"/>
    <w:rsid w:val="006A2680"/>
    <w:rsid w:val="006A3E24"/>
    <w:rsid w:val="006A72AF"/>
    <w:rsid w:val="006B0E0E"/>
    <w:rsid w:val="006B1241"/>
    <w:rsid w:val="006B180E"/>
    <w:rsid w:val="006B3642"/>
    <w:rsid w:val="006B3C7C"/>
    <w:rsid w:val="006B70F0"/>
    <w:rsid w:val="006C0BF6"/>
    <w:rsid w:val="006C1C14"/>
    <w:rsid w:val="006C4FDA"/>
    <w:rsid w:val="006C6580"/>
    <w:rsid w:val="006C6896"/>
    <w:rsid w:val="006C6AA0"/>
    <w:rsid w:val="006C7428"/>
    <w:rsid w:val="006C753C"/>
    <w:rsid w:val="006D0204"/>
    <w:rsid w:val="006D286D"/>
    <w:rsid w:val="006D3B86"/>
    <w:rsid w:val="006D4912"/>
    <w:rsid w:val="006D632A"/>
    <w:rsid w:val="006E6120"/>
    <w:rsid w:val="006E682E"/>
    <w:rsid w:val="006E7E45"/>
    <w:rsid w:val="006F36B1"/>
    <w:rsid w:val="006F51B7"/>
    <w:rsid w:val="006F65F0"/>
    <w:rsid w:val="006F7E64"/>
    <w:rsid w:val="0070119F"/>
    <w:rsid w:val="00702E30"/>
    <w:rsid w:val="00703664"/>
    <w:rsid w:val="007038AE"/>
    <w:rsid w:val="00706BC7"/>
    <w:rsid w:val="007100E1"/>
    <w:rsid w:val="00713E06"/>
    <w:rsid w:val="007153D2"/>
    <w:rsid w:val="00716EF3"/>
    <w:rsid w:val="0072020C"/>
    <w:rsid w:val="007217DA"/>
    <w:rsid w:val="00721F99"/>
    <w:rsid w:val="00722922"/>
    <w:rsid w:val="00723451"/>
    <w:rsid w:val="00723752"/>
    <w:rsid w:val="00724AA8"/>
    <w:rsid w:val="00725431"/>
    <w:rsid w:val="00727DB4"/>
    <w:rsid w:val="00730C82"/>
    <w:rsid w:val="007311F7"/>
    <w:rsid w:val="0073177B"/>
    <w:rsid w:val="0073310E"/>
    <w:rsid w:val="007359B1"/>
    <w:rsid w:val="00736482"/>
    <w:rsid w:val="00737366"/>
    <w:rsid w:val="0074008A"/>
    <w:rsid w:val="0074133E"/>
    <w:rsid w:val="00741BAE"/>
    <w:rsid w:val="0074299C"/>
    <w:rsid w:val="00745E5A"/>
    <w:rsid w:val="007515A3"/>
    <w:rsid w:val="00751BE0"/>
    <w:rsid w:val="00752AB3"/>
    <w:rsid w:val="0075379F"/>
    <w:rsid w:val="00753FF9"/>
    <w:rsid w:val="00754B20"/>
    <w:rsid w:val="00754C5D"/>
    <w:rsid w:val="00755E95"/>
    <w:rsid w:val="00757332"/>
    <w:rsid w:val="00761636"/>
    <w:rsid w:val="00764C89"/>
    <w:rsid w:val="007653F1"/>
    <w:rsid w:val="00766B7E"/>
    <w:rsid w:val="0077037B"/>
    <w:rsid w:val="0077073A"/>
    <w:rsid w:val="0077114A"/>
    <w:rsid w:val="0077298D"/>
    <w:rsid w:val="007759C7"/>
    <w:rsid w:val="00776114"/>
    <w:rsid w:val="00776E80"/>
    <w:rsid w:val="00781B43"/>
    <w:rsid w:val="00781C4B"/>
    <w:rsid w:val="007847D1"/>
    <w:rsid w:val="00791888"/>
    <w:rsid w:val="0079351D"/>
    <w:rsid w:val="007935A3"/>
    <w:rsid w:val="0079729F"/>
    <w:rsid w:val="007973AD"/>
    <w:rsid w:val="007A09A1"/>
    <w:rsid w:val="007A09E7"/>
    <w:rsid w:val="007A0CBE"/>
    <w:rsid w:val="007A4867"/>
    <w:rsid w:val="007A56E0"/>
    <w:rsid w:val="007A6902"/>
    <w:rsid w:val="007A75CE"/>
    <w:rsid w:val="007B0E17"/>
    <w:rsid w:val="007B0EB2"/>
    <w:rsid w:val="007B2DFB"/>
    <w:rsid w:val="007C0F7A"/>
    <w:rsid w:val="007C5CCD"/>
    <w:rsid w:val="007C655D"/>
    <w:rsid w:val="007C67BF"/>
    <w:rsid w:val="007C740E"/>
    <w:rsid w:val="007C7737"/>
    <w:rsid w:val="007D103D"/>
    <w:rsid w:val="007D167C"/>
    <w:rsid w:val="007D2F07"/>
    <w:rsid w:val="007D2FBC"/>
    <w:rsid w:val="007D4B2D"/>
    <w:rsid w:val="007D595E"/>
    <w:rsid w:val="007D6631"/>
    <w:rsid w:val="007D79E9"/>
    <w:rsid w:val="007E0CD0"/>
    <w:rsid w:val="007E0CD2"/>
    <w:rsid w:val="007E0FF5"/>
    <w:rsid w:val="007E2218"/>
    <w:rsid w:val="007E25AA"/>
    <w:rsid w:val="007E333B"/>
    <w:rsid w:val="007E5C84"/>
    <w:rsid w:val="007E7385"/>
    <w:rsid w:val="007F0735"/>
    <w:rsid w:val="007F0A79"/>
    <w:rsid w:val="007F2136"/>
    <w:rsid w:val="007F3B9C"/>
    <w:rsid w:val="007F3D50"/>
    <w:rsid w:val="007F76F0"/>
    <w:rsid w:val="008018F5"/>
    <w:rsid w:val="00801CAD"/>
    <w:rsid w:val="008037DA"/>
    <w:rsid w:val="00804355"/>
    <w:rsid w:val="00804AFF"/>
    <w:rsid w:val="0081022C"/>
    <w:rsid w:val="00812D29"/>
    <w:rsid w:val="00812DAD"/>
    <w:rsid w:val="008204FE"/>
    <w:rsid w:val="00820CA8"/>
    <w:rsid w:val="00820F1C"/>
    <w:rsid w:val="0082262A"/>
    <w:rsid w:val="008233EF"/>
    <w:rsid w:val="00825227"/>
    <w:rsid w:val="00831392"/>
    <w:rsid w:val="00833F98"/>
    <w:rsid w:val="0083409B"/>
    <w:rsid w:val="00836D8E"/>
    <w:rsid w:val="00837F74"/>
    <w:rsid w:val="00840B26"/>
    <w:rsid w:val="00840F8C"/>
    <w:rsid w:val="008428EF"/>
    <w:rsid w:val="0084397D"/>
    <w:rsid w:val="0084462F"/>
    <w:rsid w:val="00845523"/>
    <w:rsid w:val="008472DD"/>
    <w:rsid w:val="00847632"/>
    <w:rsid w:val="0084792B"/>
    <w:rsid w:val="0085538C"/>
    <w:rsid w:val="00856EFE"/>
    <w:rsid w:val="0085751D"/>
    <w:rsid w:val="00857E03"/>
    <w:rsid w:val="00862ADC"/>
    <w:rsid w:val="0086359A"/>
    <w:rsid w:val="00864B76"/>
    <w:rsid w:val="008677F4"/>
    <w:rsid w:val="00867E6C"/>
    <w:rsid w:val="00872BD6"/>
    <w:rsid w:val="00882359"/>
    <w:rsid w:val="00884E24"/>
    <w:rsid w:val="00885573"/>
    <w:rsid w:val="00890C7E"/>
    <w:rsid w:val="0089103B"/>
    <w:rsid w:val="00893826"/>
    <w:rsid w:val="00893F8B"/>
    <w:rsid w:val="00895F23"/>
    <w:rsid w:val="008A02E1"/>
    <w:rsid w:val="008A06FB"/>
    <w:rsid w:val="008A0F28"/>
    <w:rsid w:val="008A4F60"/>
    <w:rsid w:val="008C58CF"/>
    <w:rsid w:val="008D5815"/>
    <w:rsid w:val="008E0D3B"/>
    <w:rsid w:val="008E0F9D"/>
    <w:rsid w:val="008E160F"/>
    <w:rsid w:val="008E1AC2"/>
    <w:rsid w:val="008E1D84"/>
    <w:rsid w:val="008E2EF9"/>
    <w:rsid w:val="008E7A02"/>
    <w:rsid w:val="008F3B34"/>
    <w:rsid w:val="008F5894"/>
    <w:rsid w:val="00900BF1"/>
    <w:rsid w:val="00903B12"/>
    <w:rsid w:val="00905BFD"/>
    <w:rsid w:val="00906D87"/>
    <w:rsid w:val="00910A24"/>
    <w:rsid w:val="0091123B"/>
    <w:rsid w:val="00912691"/>
    <w:rsid w:val="0091612A"/>
    <w:rsid w:val="00917A8E"/>
    <w:rsid w:val="00920FE7"/>
    <w:rsid w:val="00923BE4"/>
    <w:rsid w:val="00924166"/>
    <w:rsid w:val="0093061C"/>
    <w:rsid w:val="00933976"/>
    <w:rsid w:val="00933BCE"/>
    <w:rsid w:val="0093477E"/>
    <w:rsid w:val="0093767E"/>
    <w:rsid w:val="00945D40"/>
    <w:rsid w:val="0094605C"/>
    <w:rsid w:val="009525E4"/>
    <w:rsid w:val="00952C9D"/>
    <w:rsid w:val="009536C5"/>
    <w:rsid w:val="00954838"/>
    <w:rsid w:val="0095665A"/>
    <w:rsid w:val="00956EE8"/>
    <w:rsid w:val="00960ADF"/>
    <w:rsid w:val="00962DE2"/>
    <w:rsid w:val="00970CEC"/>
    <w:rsid w:val="00970E37"/>
    <w:rsid w:val="009750C4"/>
    <w:rsid w:val="00975560"/>
    <w:rsid w:val="0097632A"/>
    <w:rsid w:val="00983122"/>
    <w:rsid w:val="009841BD"/>
    <w:rsid w:val="00985FC8"/>
    <w:rsid w:val="0098641D"/>
    <w:rsid w:val="00991093"/>
    <w:rsid w:val="009911EE"/>
    <w:rsid w:val="009919F3"/>
    <w:rsid w:val="009930C0"/>
    <w:rsid w:val="00994E64"/>
    <w:rsid w:val="0099550D"/>
    <w:rsid w:val="00995E68"/>
    <w:rsid w:val="00997854"/>
    <w:rsid w:val="009A1994"/>
    <w:rsid w:val="009A3D5B"/>
    <w:rsid w:val="009B092F"/>
    <w:rsid w:val="009B09EC"/>
    <w:rsid w:val="009B6416"/>
    <w:rsid w:val="009B7050"/>
    <w:rsid w:val="009C0A22"/>
    <w:rsid w:val="009C32D8"/>
    <w:rsid w:val="009C3C22"/>
    <w:rsid w:val="009C65E4"/>
    <w:rsid w:val="009C66FE"/>
    <w:rsid w:val="009D06F9"/>
    <w:rsid w:val="009D2664"/>
    <w:rsid w:val="009D57C3"/>
    <w:rsid w:val="009D6CD3"/>
    <w:rsid w:val="009E7217"/>
    <w:rsid w:val="009E7D62"/>
    <w:rsid w:val="009F1B37"/>
    <w:rsid w:val="009F57BE"/>
    <w:rsid w:val="009F5F2A"/>
    <w:rsid w:val="00A006F4"/>
    <w:rsid w:val="00A00EFB"/>
    <w:rsid w:val="00A0175F"/>
    <w:rsid w:val="00A02DC0"/>
    <w:rsid w:val="00A035D6"/>
    <w:rsid w:val="00A0451A"/>
    <w:rsid w:val="00A04985"/>
    <w:rsid w:val="00A051CD"/>
    <w:rsid w:val="00A0653B"/>
    <w:rsid w:val="00A10BCF"/>
    <w:rsid w:val="00A148FE"/>
    <w:rsid w:val="00A149B2"/>
    <w:rsid w:val="00A14B9F"/>
    <w:rsid w:val="00A168D7"/>
    <w:rsid w:val="00A17F89"/>
    <w:rsid w:val="00A231CF"/>
    <w:rsid w:val="00A267CB"/>
    <w:rsid w:val="00A305B2"/>
    <w:rsid w:val="00A3260D"/>
    <w:rsid w:val="00A33344"/>
    <w:rsid w:val="00A34EC6"/>
    <w:rsid w:val="00A37ACA"/>
    <w:rsid w:val="00A40D3B"/>
    <w:rsid w:val="00A42BD2"/>
    <w:rsid w:val="00A431A5"/>
    <w:rsid w:val="00A43508"/>
    <w:rsid w:val="00A44CCF"/>
    <w:rsid w:val="00A460B3"/>
    <w:rsid w:val="00A4671D"/>
    <w:rsid w:val="00A47E82"/>
    <w:rsid w:val="00A51153"/>
    <w:rsid w:val="00A5451E"/>
    <w:rsid w:val="00A55EC0"/>
    <w:rsid w:val="00A56AF8"/>
    <w:rsid w:val="00A61931"/>
    <w:rsid w:val="00A620C2"/>
    <w:rsid w:val="00A62B7B"/>
    <w:rsid w:val="00A636B9"/>
    <w:rsid w:val="00A65658"/>
    <w:rsid w:val="00A65969"/>
    <w:rsid w:val="00A66F51"/>
    <w:rsid w:val="00A70A74"/>
    <w:rsid w:val="00A717AC"/>
    <w:rsid w:val="00A74B69"/>
    <w:rsid w:val="00A7549C"/>
    <w:rsid w:val="00A82398"/>
    <w:rsid w:val="00A83800"/>
    <w:rsid w:val="00A84D27"/>
    <w:rsid w:val="00A85C72"/>
    <w:rsid w:val="00A94392"/>
    <w:rsid w:val="00A956AC"/>
    <w:rsid w:val="00A95979"/>
    <w:rsid w:val="00A95AF6"/>
    <w:rsid w:val="00A9649A"/>
    <w:rsid w:val="00A9778F"/>
    <w:rsid w:val="00AA0A0B"/>
    <w:rsid w:val="00AA0E28"/>
    <w:rsid w:val="00AA5F49"/>
    <w:rsid w:val="00AB59ED"/>
    <w:rsid w:val="00AB5E49"/>
    <w:rsid w:val="00AC0171"/>
    <w:rsid w:val="00AC3392"/>
    <w:rsid w:val="00AC3AF3"/>
    <w:rsid w:val="00AC7F80"/>
    <w:rsid w:val="00AD2371"/>
    <w:rsid w:val="00AD419B"/>
    <w:rsid w:val="00AE3DDE"/>
    <w:rsid w:val="00AE400D"/>
    <w:rsid w:val="00AE4057"/>
    <w:rsid w:val="00AE4B47"/>
    <w:rsid w:val="00AE5379"/>
    <w:rsid w:val="00AE6B8F"/>
    <w:rsid w:val="00AF116B"/>
    <w:rsid w:val="00AF534A"/>
    <w:rsid w:val="00AF7A3B"/>
    <w:rsid w:val="00B009AD"/>
    <w:rsid w:val="00B012EB"/>
    <w:rsid w:val="00B016B8"/>
    <w:rsid w:val="00B01FE0"/>
    <w:rsid w:val="00B060C3"/>
    <w:rsid w:val="00B11264"/>
    <w:rsid w:val="00B12265"/>
    <w:rsid w:val="00B14F47"/>
    <w:rsid w:val="00B16892"/>
    <w:rsid w:val="00B17929"/>
    <w:rsid w:val="00B20DF2"/>
    <w:rsid w:val="00B21E60"/>
    <w:rsid w:val="00B226C9"/>
    <w:rsid w:val="00B23686"/>
    <w:rsid w:val="00B2370C"/>
    <w:rsid w:val="00B2658F"/>
    <w:rsid w:val="00B2707A"/>
    <w:rsid w:val="00B2757F"/>
    <w:rsid w:val="00B27A86"/>
    <w:rsid w:val="00B311B1"/>
    <w:rsid w:val="00B311E9"/>
    <w:rsid w:val="00B317A8"/>
    <w:rsid w:val="00B33570"/>
    <w:rsid w:val="00B3643A"/>
    <w:rsid w:val="00B36842"/>
    <w:rsid w:val="00B4415B"/>
    <w:rsid w:val="00B45BAE"/>
    <w:rsid w:val="00B45F4E"/>
    <w:rsid w:val="00B466C4"/>
    <w:rsid w:val="00B5048E"/>
    <w:rsid w:val="00B50E00"/>
    <w:rsid w:val="00B52A8C"/>
    <w:rsid w:val="00B56133"/>
    <w:rsid w:val="00B57672"/>
    <w:rsid w:val="00B60F30"/>
    <w:rsid w:val="00B6228C"/>
    <w:rsid w:val="00B63415"/>
    <w:rsid w:val="00B64296"/>
    <w:rsid w:val="00B66409"/>
    <w:rsid w:val="00B67795"/>
    <w:rsid w:val="00B67BBF"/>
    <w:rsid w:val="00B70965"/>
    <w:rsid w:val="00B70D55"/>
    <w:rsid w:val="00B710FC"/>
    <w:rsid w:val="00B727EB"/>
    <w:rsid w:val="00B73FBC"/>
    <w:rsid w:val="00B75317"/>
    <w:rsid w:val="00B75893"/>
    <w:rsid w:val="00B7615D"/>
    <w:rsid w:val="00B801E2"/>
    <w:rsid w:val="00B80FC1"/>
    <w:rsid w:val="00B82305"/>
    <w:rsid w:val="00B86285"/>
    <w:rsid w:val="00B90620"/>
    <w:rsid w:val="00B915A9"/>
    <w:rsid w:val="00B94350"/>
    <w:rsid w:val="00B958E1"/>
    <w:rsid w:val="00B964F4"/>
    <w:rsid w:val="00BA31B0"/>
    <w:rsid w:val="00BA3D40"/>
    <w:rsid w:val="00BA4881"/>
    <w:rsid w:val="00BA6D83"/>
    <w:rsid w:val="00BA749B"/>
    <w:rsid w:val="00BB45E1"/>
    <w:rsid w:val="00BB6BEF"/>
    <w:rsid w:val="00BB7BF9"/>
    <w:rsid w:val="00BC1A1F"/>
    <w:rsid w:val="00BC5910"/>
    <w:rsid w:val="00BC5A12"/>
    <w:rsid w:val="00BC70DC"/>
    <w:rsid w:val="00BD2E29"/>
    <w:rsid w:val="00BD7929"/>
    <w:rsid w:val="00BE521E"/>
    <w:rsid w:val="00BE7A26"/>
    <w:rsid w:val="00BF0357"/>
    <w:rsid w:val="00BF4D96"/>
    <w:rsid w:val="00BF692E"/>
    <w:rsid w:val="00BF6E3E"/>
    <w:rsid w:val="00BF6F1B"/>
    <w:rsid w:val="00C03C56"/>
    <w:rsid w:val="00C04024"/>
    <w:rsid w:val="00C047CD"/>
    <w:rsid w:val="00C05014"/>
    <w:rsid w:val="00C0711C"/>
    <w:rsid w:val="00C1300D"/>
    <w:rsid w:val="00C1348F"/>
    <w:rsid w:val="00C14CE2"/>
    <w:rsid w:val="00C15BB0"/>
    <w:rsid w:val="00C16B48"/>
    <w:rsid w:val="00C16DCE"/>
    <w:rsid w:val="00C17537"/>
    <w:rsid w:val="00C216F6"/>
    <w:rsid w:val="00C2309E"/>
    <w:rsid w:val="00C2464F"/>
    <w:rsid w:val="00C27B74"/>
    <w:rsid w:val="00C31575"/>
    <w:rsid w:val="00C33235"/>
    <w:rsid w:val="00C4021D"/>
    <w:rsid w:val="00C43B2C"/>
    <w:rsid w:val="00C452C0"/>
    <w:rsid w:val="00C518BF"/>
    <w:rsid w:val="00C51E6D"/>
    <w:rsid w:val="00C55F4E"/>
    <w:rsid w:val="00C567F3"/>
    <w:rsid w:val="00C56E37"/>
    <w:rsid w:val="00C57C12"/>
    <w:rsid w:val="00C57FE0"/>
    <w:rsid w:val="00C6077A"/>
    <w:rsid w:val="00C63B2A"/>
    <w:rsid w:val="00C63C3D"/>
    <w:rsid w:val="00C6439C"/>
    <w:rsid w:val="00C6445B"/>
    <w:rsid w:val="00C72991"/>
    <w:rsid w:val="00C72E55"/>
    <w:rsid w:val="00C75F5C"/>
    <w:rsid w:val="00C8180E"/>
    <w:rsid w:val="00C8194C"/>
    <w:rsid w:val="00C81A72"/>
    <w:rsid w:val="00C82E49"/>
    <w:rsid w:val="00C832F5"/>
    <w:rsid w:val="00C85399"/>
    <w:rsid w:val="00C85C59"/>
    <w:rsid w:val="00C86224"/>
    <w:rsid w:val="00C908C5"/>
    <w:rsid w:val="00C92605"/>
    <w:rsid w:val="00C92FF5"/>
    <w:rsid w:val="00C93798"/>
    <w:rsid w:val="00C94467"/>
    <w:rsid w:val="00C947FA"/>
    <w:rsid w:val="00CA0A2C"/>
    <w:rsid w:val="00CA2647"/>
    <w:rsid w:val="00CA30E0"/>
    <w:rsid w:val="00CA6A2A"/>
    <w:rsid w:val="00CB061C"/>
    <w:rsid w:val="00CB6E0F"/>
    <w:rsid w:val="00CB7A80"/>
    <w:rsid w:val="00CC43E8"/>
    <w:rsid w:val="00CD1840"/>
    <w:rsid w:val="00CD352A"/>
    <w:rsid w:val="00CD52B3"/>
    <w:rsid w:val="00CD611F"/>
    <w:rsid w:val="00CD71D9"/>
    <w:rsid w:val="00CE023F"/>
    <w:rsid w:val="00CE1637"/>
    <w:rsid w:val="00CE1B7A"/>
    <w:rsid w:val="00CE285B"/>
    <w:rsid w:val="00CE3AD4"/>
    <w:rsid w:val="00CE47F8"/>
    <w:rsid w:val="00CE4A7F"/>
    <w:rsid w:val="00CE54BE"/>
    <w:rsid w:val="00CE6030"/>
    <w:rsid w:val="00CE6F34"/>
    <w:rsid w:val="00CF136D"/>
    <w:rsid w:val="00CF1F0B"/>
    <w:rsid w:val="00D00A4D"/>
    <w:rsid w:val="00D015E4"/>
    <w:rsid w:val="00D0407B"/>
    <w:rsid w:val="00D0614D"/>
    <w:rsid w:val="00D0731E"/>
    <w:rsid w:val="00D07CAE"/>
    <w:rsid w:val="00D11CBF"/>
    <w:rsid w:val="00D20174"/>
    <w:rsid w:val="00D23356"/>
    <w:rsid w:val="00D235B7"/>
    <w:rsid w:val="00D2618B"/>
    <w:rsid w:val="00D26DD0"/>
    <w:rsid w:val="00D27012"/>
    <w:rsid w:val="00D304E5"/>
    <w:rsid w:val="00D309DC"/>
    <w:rsid w:val="00D32876"/>
    <w:rsid w:val="00D33D80"/>
    <w:rsid w:val="00D3450D"/>
    <w:rsid w:val="00D34B4F"/>
    <w:rsid w:val="00D35270"/>
    <w:rsid w:val="00D356E6"/>
    <w:rsid w:val="00D37892"/>
    <w:rsid w:val="00D416B7"/>
    <w:rsid w:val="00D41C04"/>
    <w:rsid w:val="00D41E6A"/>
    <w:rsid w:val="00D41E6E"/>
    <w:rsid w:val="00D43B6B"/>
    <w:rsid w:val="00D45CFF"/>
    <w:rsid w:val="00D45F67"/>
    <w:rsid w:val="00D46518"/>
    <w:rsid w:val="00D47463"/>
    <w:rsid w:val="00D539D6"/>
    <w:rsid w:val="00D54CE5"/>
    <w:rsid w:val="00D55823"/>
    <w:rsid w:val="00D563D0"/>
    <w:rsid w:val="00D579A7"/>
    <w:rsid w:val="00D61CAA"/>
    <w:rsid w:val="00D623E2"/>
    <w:rsid w:val="00D6713C"/>
    <w:rsid w:val="00D67F42"/>
    <w:rsid w:val="00D702CB"/>
    <w:rsid w:val="00D72015"/>
    <w:rsid w:val="00D73DF6"/>
    <w:rsid w:val="00D7410A"/>
    <w:rsid w:val="00D750F1"/>
    <w:rsid w:val="00D76A77"/>
    <w:rsid w:val="00D81D47"/>
    <w:rsid w:val="00D8282C"/>
    <w:rsid w:val="00D832E7"/>
    <w:rsid w:val="00D84C32"/>
    <w:rsid w:val="00D84EDC"/>
    <w:rsid w:val="00D86B82"/>
    <w:rsid w:val="00D930F6"/>
    <w:rsid w:val="00D93B7F"/>
    <w:rsid w:val="00D9522E"/>
    <w:rsid w:val="00DA2C8F"/>
    <w:rsid w:val="00DA61EE"/>
    <w:rsid w:val="00DA7438"/>
    <w:rsid w:val="00DA7E1C"/>
    <w:rsid w:val="00DB03BE"/>
    <w:rsid w:val="00DB42B0"/>
    <w:rsid w:val="00DB5438"/>
    <w:rsid w:val="00DB7AC7"/>
    <w:rsid w:val="00DC039F"/>
    <w:rsid w:val="00DC1415"/>
    <w:rsid w:val="00DC2342"/>
    <w:rsid w:val="00DC3EBD"/>
    <w:rsid w:val="00DC5BF3"/>
    <w:rsid w:val="00DC6F00"/>
    <w:rsid w:val="00DD0785"/>
    <w:rsid w:val="00DD20D5"/>
    <w:rsid w:val="00DD24B6"/>
    <w:rsid w:val="00DD70EC"/>
    <w:rsid w:val="00DD7A4D"/>
    <w:rsid w:val="00DE116A"/>
    <w:rsid w:val="00DE3F2E"/>
    <w:rsid w:val="00DE6582"/>
    <w:rsid w:val="00DE73C8"/>
    <w:rsid w:val="00DE7F43"/>
    <w:rsid w:val="00DF0424"/>
    <w:rsid w:val="00DF08DA"/>
    <w:rsid w:val="00DF17A0"/>
    <w:rsid w:val="00DF17BE"/>
    <w:rsid w:val="00DF2EE8"/>
    <w:rsid w:val="00DF434F"/>
    <w:rsid w:val="00DF47C3"/>
    <w:rsid w:val="00DF51A5"/>
    <w:rsid w:val="00DF615C"/>
    <w:rsid w:val="00E01742"/>
    <w:rsid w:val="00E035E1"/>
    <w:rsid w:val="00E0540A"/>
    <w:rsid w:val="00E069F1"/>
    <w:rsid w:val="00E07DCB"/>
    <w:rsid w:val="00E07F40"/>
    <w:rsid w:val="00E116B2"/>
    <w:rsid w:val="00E128C7"/>
    <w:rsid w:val="00E149BC"/>
    <w:rsid w:val="00E14AC3"/>
    <w:rsid w:val="00E14F27"/>
    <w:rsid w:val="00E25A29"/>
    <w:rsid w:val="00E25CAB"/>
    <w:rsid w:val="00E3145D"/>
    <w:rsid w:val="00E34ADA"/>
    <w:rsid w:val="00E351A5"/>
    <w:rsid w:val="00E3731A"/>
    <w:rsid w:val="00E40839"/>
    <w:rsid w:val="00E41A59"/>
    <w:rsid w:val="00E4353C"/>
    <w:rsid w:val="00E45066"/>
    <w:rsid w:val="00E453D7"/>
    <w:rsid w:val="00E4729E"/>
    <w:rsid w:val="00E47C9F"/>
    <w:rsid w:val="00E5033F"/>
    <w:rsid w:val="00E503CF"/>
    <w:rsid w:val="00E52318"/>
    <w:rsid w:val="00E551C1"/>
    <w:rsid w:val="00E60FF9"/>
    <w:rsid w:val="00E6196B"/>
    <w:rsid w:val="00E61E47"/>
    <w:rsid w:val="00E62243"/>
    <w:rsid w:val="00E62313"/>
    <w:rsid w:val="00E62344"/>
    <w:rsid w:val="00E63572"/>
    <w:rsid w:val="00E638E6"/>
    <w:rsid w:val="00E65328"/>
    <w:rsid w:val="00E72157"/>
    <w:rsid w:val="00E73F7C"/>
    <w:rsid w:val="00E76342"/>
    <w:rsid w:val="00E76890"/>
    <w:rsid w:val="00E81200"/>
    <w:rsid w:val="00E81D8D"/>
    <w:rsid w:val="00E82FC0"/>
    <w:rsid w:val="00E9058C"/>
    <w:rsid w:val="00E91BB8"/>
    <w:rsid w:val="00E951F7"/>
    <w:rsid w:val="00E95FE7"/>
    <w:rsid w:val="00EA1710"/>
    <w:rsid w:val="00EA341E"/>
    <w:rsid w:val="00EB47E2"/>
    <w:rsid w:val="00EC04F9"/>
    <w:rsid w:val="00EC0D02"/>
    <w:rsid w:val="00EC3547"/>
    <w:rsid w:val="00EC3665"/>
    <w:rsid w:val="00EC4F24"/>
    <w:rsid w:val="00EC586D"/>
    <w:rsid w:val="00EC78D1"/>
    <w:rsid w:val="00ED1B2F"/>
    <w:rsid w:val="00ED1F66"/>
    <w:rsid w:val="00ED5EFB"/>
    <w:rsid w:val="00ED749D"/>
    <w:rsid w:val="00ED7FB3"/>
    <w:rsid w:val="00EE01A0"/>
    <w:rsid w:val="00EE16FD"/>
    <w:rsid w:val="00EE290B"/>
    <w:rsid w:val="00EE3792"/>
    <w:rsid w:val="00EE5EB6"/>
    <w:rsid w:val="00EE6169"/>
    <w:rsid w:val="00EE7296"/>
    <w:rsid w:val="00EE7CFB"/>
    <w:rsid w:val="00EF085B"/>
    <w:rsid w:val="00EF0C30"/>
    <w:rsid w:val="00EF0C63"/>
    <w:rsid w:val="00EF1E4A"/>
    <w:rsid w:val="00EF2469"/>
    <w:rsid w:val="00EF38F5"/>
    <w:rsid w:val="00EF3CD2"/>
    <w:rsid w:val="00EF4D8A"/>
    <w:rsid w:val="00EF71CC"/>
    <w:rsid w:val="00EF7701"/>
    <w:rsid w:val="00F00A91"/>
    <w:rsid w:val="00F03120"/>
    <w:rsid w:val="00F0567D"/>
    <w:rsid w:val="00F104AA"/>
    <w:rsid w:val="00F142AD"/>
    <w:rsid w:val="00F153D0"/>
    <w:rsid w:val="00F1672D"/>
    <w:rsid w:val="00F168A0"/>
    <w:rsid w:val="00F16E57"/>
    <w:rsid w:val="00F20170"/>
    <w:rsid w:val="00F20C64"/>
    <w:rsid w:val="00F21F0A"/>
    <w:rsid w:val="00F22523"/>
    <w:rsid w:val="00F23B01"/>
    <w:rsid w:val="00F24995"/>
    <w:rsid w:val="00F25091"/>
    <w:rsid w:val="00F30FAB"/>
    <w:rsid w:val="00F3100E"/>
    <w:rsid w:val="00F357D4"/>
    <w:rsid w:val="00F359C8"/>
    <w:rsid w:val="00F36355"/>
    <w:rsid w:val="00F36E48"/>
    <w:rsid w:val="00F41022"/>
    <w:rsid w:val="00F415D0"/>
    <w:rsid w:val="00F4349C"/>
    <w:rsid w:val="00F46956"/>
    <w:rsid w:val="00F46D3E"/>
    <w:rsid w:val="00F50070"/>
    <w:rsid w:val="00F51F2B"/>
    <w:rsid w:val="00F52B3A"/>
    <w:rsid w:val="00F533A7"/>
    <w:rsid w:val="00F55698"/>
    <w:rsid w:val="00F570C0"/>
    <w:rsid w:val="00F6091A"/>
    <w:rsid w:val="00F60F42"/>
    <w:rsid w:val="00F61695"/>
    <w:rsid w:val="00F61C5E"/>
    <w:rsid w:val="00F61D04"/>
    <w:rsid w:val="00F620E7"/>
    <w:rsid w:val="00F628CB"/>
    <w:rsid w:val="00F66112"/>
    <w:rsid w:val="00F6719F"/>
    <w:rsid w:val="00F67290"/>
    <w:rsid w:val="00F702A1"/>
    <w:rsid w:val="00F70782"/>
    <w:rsid w:val="00F7572A"/>
    <w:rsid w:val="00F76874"/>
    <w:rsid w:val="00F76EA3"/>
    <w:rsid w:val="00F83631"/>
    <w:rsid w:val="00F845D8"/>
    <w:rsid w:val="00F866CA"/>
    <w:rsid w:val="00F86946"/>
    <w:rsid w:val="00F904DE"/>
    <w:rsid w:val="00F90806"/>
    <w:rsid w:val="00F92867"/>
    <w:rsid w:val="00F93CE5"/>
    <w:rsid w:val="00FA202F"/>
    <w:rsid w:val="00FA4C35"/>
    <w:rsid w:val="00FA4C93"/>
    <w:rsid w:val="00FA589A"/>
    <w:rsid w:val="00FA7C04"/>
    <w:rsid w:val="00FA7CB3"/>
    <w:rsid w:val="00FB42A5"/>
    <w:rsid w:val="00FB6F14"/>
    <w:rsid w:val="00FC2A74"/>
    <w:rsid w:val="00FC2EA2"/>
    <w:rsid w:val="00FC365F"/>
    <w:rsid w:val="00FC5FB5"/>
    <w:rsid w:val="00FD2305"/>
    <w:rsid w:val="00FD5FE4"/>
    <w:rsid w:val="00FE42F0"/>
    <w:rsid w:val="00FE6F5C"/>
    <w:rsid w:val="00FF2A21"/>
    <w:rsid w:val="00FF2F45"/>
    <w:rsid w:val="00FF452C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0AC7B"/>
  <w15:docId w15:val="{D53D2CBB-4AFF-4BA8-B8BB-6699944D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03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073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0733"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0733"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0733"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0733"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60733"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0733"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60733"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60733"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73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073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073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6073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6073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60733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60733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60733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60733"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160733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160733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  <w:rsid w:val="00160733"/>
  </w:style>
  <w:style w:type="paragraph" w:styleId="a4">
    <w:name w:val="header"/>
    <w:basedOn w:val="a"/>
    <w:link w:val="a5"/>
    <w:uiPriority w:val="99"/>
    <w:rsid w:val="0016073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0733"/>
    <w:rPr>
      <w:rFonts w:cs="Times New Roman"/>
      <w:sz w:val="20"/>
    </w:rPr>
  </w:style>
  <w:style w:type="character" w:customStyle="1" w:styleId="a6">
    <w:name w:val="номер страницы"/>
    <w:uiPriority w:val="99"/>
    <w:rsid w:val="00160733"/>
  </w:style>
  <w:style w:type="paragraph" w:styleId="a7">
    <w:name w:val="Body Text"/>
    <w:basedOn w:val="a"/>
    <w:link w:val="a8"/>
    <w:uiPriority w:val="99"/>
    <w:rsid w:val="0016073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60733"/>
    <w:rPr>
      <w:rFonts w:cs="Times New Roman"/>
      <w:sz w:val="20"/>
    </w:rPr>
  </w:style>
  <w:style w:type="paragraph" w:styleId="22">
    <w:name w:val="Body Text 2"/>
    <w:basedOn w:val="a"/>
    <w:link w:val="23"/>
    <w:uiPriority w:val="99"/>
    <w:rsid w:val="00160733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60733"/>
    <w:rPr>
      <w:rFonts w:cs="Times New Roman"/>
      <w:sz w:val="20"/>
    </w:rPr>
  </w:style>
  <w:style w:type="paragraph" w:styleId="24">
    <w:name w:val="Body Text Indent 2"/>
    <w:basedOn w:val="a"/>
    <w:link w:val="25"/>
    <w:uiPriority w:val="99"/>
    <w:rsid w:val="00160733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60733"/>
    <w:rPr>
      <w:rFonts w:cs="Times New Roman"/>
      <w:sz w:val="20"/>
    </w:rPr>
  </w:style>
  <w:style w:type="paragraph" w:styleId="a9">
    <w:name w:val="footer"/>
    <w:basedOn w:val="a"/>
    <w:link w:val="aa"/>
    <w:uiPriority w:val="99"/>
    <w:rsid w:val="0016073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60733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16073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60733"/>
    <w:rPr>
      <w:rFonts w:cs="Times New Roman"/>
      <w:sz w:val="16"/>
    </w:rPr>
  </w:style>
  <w:style w:type="paragraph" w:customStyle="1" w:styleId="ConsNonformat">
    <w:name w:val="ConsNonformat"/>
    <w:uiPriority w:val="99"/>
    <w:rsid w:val="0016073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60733"/>
    <w:pPr>
      <w:widowControl w:val="0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rsid w:val="00160733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60733"/>
    <w:rPr>
      <w:rFonts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60733"/>
    <w:rPr>
      <w:rFonts w:ascii="Tahoma" w:hAnsi="Tahoma" w:cs="Times New Roman"/>
      <w:sz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B739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739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03987"/>
    <w:rPr>
      <w:rFonts w:cs="Times New Roman"/>
      <w:sz w:val="16"/>
    </w:rPr>
  </w:style>
  <w:style w:type="paragraph" w:customStyle="1" w:styleId="af1">
    <w:name w:val="Алексей"/>
    <w:basedOn w:val="a"/>
    <w:uiPriority w:val="99"/>
    <w:rsid w:val="00190E1F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uiPriority w:val="99"/>
    <w:rsid w:val="00190E1F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af2">
    <w:name w:val="Основной текст_"/>
    <w:link w:val="26"/>
    <w:uiPriority w:val="99"/>
    <w:locked/>
    <w:rsid w:val="00190E1F"/>
    <w:rPr>
      <w:sz w:val="28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190E1F"/>
    <w:pPr>
      <w:widowControl w:val="0"/>
      <w:shd w:val="clear" w:color="auto" w:fill="FFFFFF"/>
      <w:autoSpaceDE/>
      <w:autoSpaceDN/>
      <w:spacing w:before="360" w:after="360" w:line="240" w:lineRule="atLeast"/>
      <w:ind w:hanging="1580"/>
      <w:jc w:val="center"/>
    </w:pPr>
    <w:rPr>
      <w:sz w:val="28"/>
    </w:rPr>
  </w:style>
  <w:style w:type="character" w:customStyle="1" w:styleId="10pt">
    <w:name w:val="Основной текст + 10 pt"/>
    <w:aliases w:val="Интервал 0 pt"/>
    <w:uiPriority w:val="99"/>
    <w:rsid w:val="00190E1F"/>
    <w:rPr>
      <w:rFonts w:ascii="Times New Roman" w:hAnsi="Times New Roman"/>
      <w:color w:val="000000"/>
      <w:spacing w:val="7"/>
      <w:w w:val="100"/>
      <w:position w:val="0"/>
      <w:sz w:val="20"/>
      <w:u w:val="none"/>
      <w:lang w:val="ru-RU" w:eastAsia="ru-RU"/>
    </w:rPr>
  </w:style>
  <w:style w:type="paragraph" w:customStyle="1" w:styleId="BodyText211">
    <w:name w:val="Body Text 2.Мой Заголовок 1.Основной текст 1"/>
    <w:basedOn w:val="a"/>
    <w:uiPriority w:val="99"/>
    <w:rsid w:val="00190E1F"/>
    <w:pPr>
      <w:ind w:firstLine="709"/>
      <w:jc w:val="both"/>
    </w:pPr>
    <w:rPr>
      <w:sz w:val="28"/>
      <w:szCs w:val="28"/>
    </w:rPr>
  </w:style>
  <w:style w:type="paragraph" w:styleId="af3">
    <w:name w:val="No Spacing"/>
    <w:link w:val="af4"/>
    <w:uiPriority w:val="99"/>
    <w:qFormat/>
    <w:rsid w:val="00190E1F"/>
    <w:rPr>
      <w:rFonts w:ascii="Calibri" w:hAnsi="Calibri"/>
    </w:rPr>
  </w:style>
  <w:style w:type="character" w:customStyle="1" w:styleId="af4">
    <w:name w:val="Без интервала Знак"/>
    <w:link w:val="af3"/>
    <w:uiPriority w:val="99"/>
    <w:locked/>
    <w:rsid w:val="00190E1F"/>
    <w:rPr>
      <w:rFonts w:ascii="Calibri" w:hAnsi="Calibri"/>
      <w:sz w:val="22"/>
      <w:lang w:val="ru-RU" w:eastAsia="ru-RU"/>
    </w:rPr>
  </w:style>
  <w:style w:type="character" w:styleId="af5">
    <w:name w:val="Hyperlink"/>
    <w:basedOn w:val="a0"/>
    <w:uiPriority w:val="99"/>
    <w:rsid w:val="00190E1F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rsid w:val="00190E1F"/>
    <w:rPr>
      <w:rFonts w:cs="Times New Roman"/>
      <w:color w:val="800080"/>
      <w:u w:val="single"/>
    </w:rPr>
  </w:style>
  <w:style w:type="paragraph" w:styleId="af7">
    <w:name w:val="List Paragraph"/>
    <w:basedOn w:val="a"/>
    <w:uiPriority w:val="99"/>
    <w:qFormat/>
    <w:rsid w:val="00190E1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190E1F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99"/>
    <w:qFormat/>
    <w:rsid w:val="00190E1F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99"/>
    <w:locked/>
    <w:rsid w:val="00190E1F"/>
    <w:rPr>
      <w:rFonts w:ascii="Cambria" w:hAnsi="Cambria" w:cs="Times New Roman"/>
      <w:color w:val="17365D"/>
      <w:spacing w:val="5"/>
      <w:kern w:val="28"/>
      <w:sz w:val="52"/>
    </w:rPr>
  </w:style>
  <w:style w:type="character" w:styleId="afb">
    <w:name w:val="annotation reference"/>
    <w:basedOn w:val="a0"/>
    <w:uiPriority w:val="99"/>
    <w:semiHidden/>
    <w:rsid w:val="00190E1F"/>
    <w:rPr>
      <w:rFonts w:cs="Times New Roman"/>
      <w:sz w:val="16"/>
    </w:rPr>
  </w:style>
  <w:style w:type="paragraph" w:customStyle="1" w:styleId="afc">
    <w:name w:val="Нормальный (таблица)"/>
    <w:basedOn w:val="a"/>
    <w:next w:val="a"/>
    <w:uiPriority w:val="99"/>
    <w:rsid w:val="00190E1F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Strong"/>
    <w:basedOn w:val="a0"/>
    <w:uiPriority w:val="99"/>
    <w:qFormat/>
    <w:rsid w:val="00190E1F"/>
    <w:rPr>
      <w:rFonts w:cs="Times New Roman"/>
      <w:b/>
    </w:rPr>
  </w:style>
  <w:style w:type="paragraph" w:styleId="afe">
    <w:name w:val="annotation text"/>
    <w:basedOn w:val="a"/>
    <w:link w:val="aff"/>
    <w:uiPriority w:val="99"/>
    <w:semiHidden/>
    <w:rsid w:val="00190E1F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190E1F"/>
    <w:rPr>
      <w:rFonts w:ascii="Calibri" w:hAnsi="Calibri" w:cs="Times New Roman"/>
      <w:sz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rsid w:val="00190E1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190E1F"/>
    <w:rPr>
      <w:rFonts w:ascii="Calibri" w:hAnsi="Calibri" w:cs="Times New Roman"/>
      <w:b/>
      <w:sz w:val="20"/>
      <w:lang w:eastAsia="en-US"/>
    </w:rPr>
  </w:style>
  <w:style w:type="character" w:customStyle="1" w:styleId="apple-converted-space">
    <w:name w:val="apple-converted-space"/>
    <w:uiPriority w:val="99"/>
    <w:rsid w:val="00190E1F"/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 Знак Знак Знак"/>
    <w:basedOn w:val="a"/>
    <w:uiPriority w:val="99"/>
    <w:rsid w:val="004A48FB"/>
    <w:pPr>
      <w:autoSpaceDE/>
      <w:autoSpaceDN/>
    </w:pPr>
    <w:rPr>
      <w:rFonts w:ascii="Verdana" w:hAnsi="Verdana" w:cs="Verdana"/>
      <w:lang w:val="en-US" w:eastAsia="en-US"/>
    </w:rPr>
  </w:style>
  <w:style w:type="paragraph" w:styleId="aff2">
    <w:name w:val="Revision"/>
    <w:hidden/>
    <w:uiPriority w:val="99"/>
    <w:semiHidden/>
    <w:rsid w:val="00F4349C"/>
    <w:rPr>
      <w:sz w:val="20"/>
      <w:szCs w:val="20"/>
    </w:rPr>
  </w:style>
  <w:style w:type="paragraph" w:styleId="aff3">
    <w:name w:val="footnote text"/>
    <w:basedOn w:val="a"/>
    <w:link w:val="aff4"/>
    <w:uiPriority w:val="99"/>
    <w:semiHidden/>
    <w:rsid w:val="00B67795"/>
  </w:style>
  <w:style w:type="character" w:customStyle="1" w:styleId="aff4">
    <w:name w:val="Текст сноски Знак"/>
    <w:basedOn w:val="a0"/>
    <w:link w:val="aff3"/>
    <w:uiPriority w:val="99"/>
    <w:semiHidden/>
    <w:locked/>
    <w:rsid w:val="00B67795"/>
    <w:rPr>
      <w:rFonts w:cs="Times New Roman"/>
    </w:rPr>
  </w:style>
  <w:style w:type="character" w:styleId="aff5">
    <w:name w:val="footnote reference"/>
    <w:basedOn w:val="a0"/>
    <w:uiPriority w:val="99"/>
    <w:semiHidden/>
    <w:rsid w:val="00B67795"/>
    <w:rPr>
      <w:rFonts w:cs="Times New Roman"/>
      <w:vertAlign w:val="superscript"/>
    </w:rPr>
  </w:style>
  <w:style w:type="character" w:customStyle="1" w:styleId="27">
    <w:name w:val="Основной текст (2)"/>
    <w:basedOn w:val="a0"/>
    <w:uiPriority w:val="99"/>
    <w:rsid w:val="0017409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subject/>
  <dc:creator>User</dc:creator>
  <cp:keywords/>
  <dc:description/>
  <cp:lastModifiedBy>bakeeva</cp:lastModifiedBy>
  <cp:revision>20</cp:revision>
  <cp:lastPrinted>2022-12-12T01:50:00Z</cp:lastPrinted>
  <dcterms:created xsi:type="dcterms:W3CDTF">2022-11-24T01:02:00Z</dcterms:created>
  <dcterms:modified xsi:type="dcterms:W3CDTF">2022-12-12T06:07:00Z</dcterms:modified>
</cp:coreProperties>
</file>